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1A26" w:rsidRDefault="00721A26" w:rsidP="00721A26">
      <w:pPr>
        <w:pStyle w:val="1"/>
        <w:spacing w:before="240" w:after="240" w:line="240" w:lineRule="auto"/>
        <w:jc w:val="center"/>
        <w:rPr>
          <w:rFonts w:ascii="黑体" w:eastAsia="黑体" w:hAnsi="黑体" w:cs="黑体"/>
          <w:sz w:val="32"/>
          <w:szCs w:val="32"/>
          <w:lang w:val="zh-CN"/>
        </w:rPr>
      </w:pPr>
      <w:bookmarkStart w:id="0" w:name="_Toc2775"/>
      <w:bookmarkStart w:id="1" w:name="_Toc14768"/>
      <w:r>
        <w:rPr>
          <w:rFonts w:ascii="黑体" w:eastAsia="黑体" w:hAnsi="黑体" w:cs="黑体" w:hint="eastAsia"/>
          <w:sz w:val="32"/>
          <w:szCs w:val="32"/>
        </w:rPr>
        <w:t>中南民族大学学生学业预警系统建设方案</w:t>
      </w:r>
      <w:bookmarkEnd w:id="0"/>
      <w:r>
        <w:rPr>
          <w:rFonts w:ascii="黑体" w:eastAsia="黑体" w:hAnsi="黑体" w:cs="黑体" w:hint="eastAsia"/>
          <w:sz w:val="32"/>
          <w:szCs w:val="32"/>
        </w:rPr>
        <w:t>与效果分析</w:t>
      </w:r>
      <w:bookmarkEnd w:id="1"/>
    </w:p>
    <w:p w:rsidR="00721A26" w:rsidRDefault="00721A26" w:rsidP="00721A26">
      <w:pPr>
        <w:spacing w:line="288" w:lineRule="auto"/>
        <w:rPr>
          <w:rFonts w:ascii="宋体" w:eastAsia="宋体" w:hAnsi="宋体" w:cs="Times New Roman"/>
          <w:b/>
          <w:szCs w:val="21"/>
        </w:rPr>
      </w:pPr>
    </w:p>
    <w:p w:rsidR="00721A26" w:rsidRDefault="00721A26" w:rsidP="00721A26">
      <w:pPr>
        <w:spacing w:line="288" w:lineRule="auto"/>
        <w:ind w:firstLine="420"/>
        <w:rPr>
          <w:rFonts w:ascii="宋体" w:eastAsia="宋体" w:hAnsi="宋体" w:cs="Times New Roman"/>
          <w:szCs w:val="21"/>
        </w:rPr>
      </w:pPr>
      <w:r>
        <w:rPr>
          <w:rFonts w:ascii="宋体" w:eastAsia="宋体" w:hAnsi="宋体" w:cs="Times New Roman" w:hint="eastAsia"/>
          <w:szCs w:val="21"/>
        </w:rPr>
        <w:t>国家中长期教育改革和发展规划纲要（</w:t>
      </w:r>
      <w:r>
        <w:rPr>
          <w:rFonts w:ascii="宋体" w:eastAsia="宋体" w:hAnsi="宋体" w:cs="Times New Roman"/>
          <w:szCs w:val="21"/>
        </w:rPr>
        <w:t xml:space="preserve">2010-2020 </w:t>
      </w:r>
      <w:r>
        <w:rPr>
          <w:rFonts w:ascii="宋体" w:eastAsia="宋体" w:hAnsi="宋体" w:cs="Times New Roman" w:hint="eastAsia"/>
          <w:szCs w:val="21"/>
        </w:rPr>
        <w:t>年</w:t>
      </w:r>
      <w:r>
        <w:rPr>
          <w:rFonts w:ascii="宋体" w:eastAsia="宋体" w:hAnsi="宋体" w:cs="Times New Roman"/>
          <w:szCs w:val="21"/>
        </w:rPr>
        <w:t>）中明确指出要：</w:t>
      </w:r>
      <w:r>
        <w:rPr>
          <w:rFonts w:ascii="宋体" w:eastAsia="宋体" w:hAnsi="宋体" w:cs="Times New Roman" w:hint="eastAsia"/>
          <w:szCs w:val="21"/>
        </w:rPr>
        <w:t>“建立学习困难学生的帮助机制，关注学生不同特点和个性差异，发展每一个学生的优势潜能，关心每个学生，促进每个学生主动地、生动活泼地发展，尊重教育规律和学生身心发展规律，为每个学生提供适合的教育”。民族院校作为多民族、多文化共生发展的“小社会”，其对学生的衡量与评价标准受到一些功利性因素如学习成绩、语言表达、行为能力等影响，部分少数民族大学生进入大学后无所适从、迷失自我，极易被“边缘化”。</w:t>
      </w:r>
      <w:r>
        <w:rPr>
          <w:rFonts w:ascii="宋体" w:eastAsia="宋体" w:hAnsi="宋体" w:cs="Times New Roman"/>
          <w:szCs w:val="21"/>
          <w:vertAlign w:val="superscript"/>
        </w:rPr>
        <w:footnoteReference w:id="1"/>
      </w:r>
      <w:r>
        <w:rPr>
          <w:rFonts w:ascii="宋体" w:eastAsia="宋体" w:hAnsi="宋体" w:cs="Times New Roman"/>
          <w:szCs w:val="21"/>
        </w:rPr>
        <w:t xml:space="preserve"> </w:t>
      </w:r>
      <w:r>
        <w:rPr>
          <w:rFonts w:ascii="宋体" w:eastAsia="宋体" w:hAnsi="宋体" w:cs="Times New Roman" w:hint="eastAsia"/>
          <w:szCs w:val="21"/>
        </w:rPr>
        <w:t>民族院校承担为民族地区培养中国特色社会主义合格建设者和可靠接班人的任务，深化民族团结进步教育，培育中华民族共同体意识，落实“一个都不能少”的政策底线。民族院校</w:t>
      </w:r>
      <w:r>
        <w:rPr>
          <w:rFonts w:ascii="宋体" w:eastAsia="宋体" w:hAnsi="宋体" w:cs="Times New Roman"/>
          <w:szCs w:val="21"/>
        </w:rPr>
        <w:t>少数民族学生</w:t>
      </w:r>
      <w:r>
        <w:rPr>
          <w:rFonts w:ascii="宋体" w:eastAsia="宋体" w:hAnsi="宋体" w:cs="Times New Roman" w:hint="eastAsia"/>
          <w:szCs w:val="21"/>
        </w:rPr>
        <w:t>占比一般都在60</w:t>
      </w:r>
      <w:r>
        <w:rPr>
          <w:rFonts w:ascii="宋体" w:eastAsia="宋体" w:hAnsi="宋体" w:cs="Times New Roman"/>
          <w:szCs w:val="21"/>
        </w:rPr>
        <w:t>%以上，且来自边疆少数民族地区学生比重较大</w:t>
      </w:r>
      <w:r>
        <w:rPr>
          <w:rFonts w:ascii="宋体" w:eastAsia="宋体" w:hAnsi="宋体" w:cs="Times New Roman" w:hint="eastAsia"/>
          <w:szCs w:val="21"/>
        </w:rPr>
        <w:t>，</w:t>
      </w:r>
      <w:r>
        <w:rPr>
          <w:rFonts w:ascii="宋体" w:eastAsia="宋体" w:hAnsi="宋体" w:cs="Times New Roman"/>
          <w:szCs w:val="21"/>
        </w:rPr>
        <w:t>历年民族院校工作和研究</w:t>
      </w:r>
      <w:r>
        <w:rPr>
          <w:rFonts w:ascii="宋体" w:eastAsia="宋体" w:hAnsi="宋体" w:cs="Times New Roman" w:hint="eastAsia"/>
          <w:szCs w:val="21"/>
        </w:rPr>
        <w:t>表明</w:t>
      </w:r>
      <w:r>
        <w:rPr>
          <w:rFonts w:ascii="宋体" w:eastAsia="宋体" w:hAnsi="宋体" w:cs="Times New Roman"/>
          <w:szCs w:val="21"/>
        </w:rPr>
        <w:t>，</w:t>
      </w:r>
      <w:r>
        <w:rPr>
          <w:rFonts w:ascii="宋体" w:eastAsia="宋体" w:hAnsi="宋体" w:cs="Times New Roman" w:hint="eastAsia"/>
          <w:szCs w:val="21"/>
        </w:rPr>
        <w:t>各地区少数民族学生差异较大，尤其是来内地学习的少数民族学生，相对于内地学生，学习基础较差，学习方式、学习能力存在不足，面临着文化、学习与人际交往等方面的适应问题</w:t>
      </w:r>
      <w:r>
        <w:rPr>
          <w:rFonts w:ascii="宋体" w:eastAsia="宋体" w:hAnsi="宋体" w:cs="Times New Roman"/>
          <w:szCs w:val="21"/>
          <w:vertAlign w:val="superscript"/>
        </w:rPr>
        <w:footnoteReference w:id="2"/>
      </w:r>
      <w:r>
        <w:rPr>
          <w:rFonts w:ascii="宋体" w:eastAsia="宋体" w:hAnsi="宋体" w:cs="Times New Roman"/>
          <w:szCs w:val="21"/>
        </w:rPr>
        <w:t>，在学习上缺乏高标准要求，主动性不强</w:t>
      </w:r>
      <w:r>
        <w:rPr>
          <w:rFonts w:ascii="宋体" w:eastAsia="宋体" w:hAnsi="宋体" w:cs="Times New Roman"/>
          <w:szCs w:val="21"/>
          <w:vertAlign w:val="superscript"/>
        </w:rPr>
        <w:footnoteReference w:id="3"/>
      </w:r>
      <w:r>
        <w:rPr>
          <w:rFonts w:ascii="宋体" w:eastAsia="宋体" w:hAnsi="宋体" w:cs="Times New Roman" w:hint="eastAsia"/>
          <w:szCs w:val="21"/>
        </w:rPr>
        <w:t>，</w:t>
      </w:r>
      <w:r>
        <w:rPr>
          <w:rFonts w:ascii="宋体" w:eastAsia="宋体" w:hAnsi="宋体" w:cs="Times New Roman"/>
          <w:szCs w:val="21"/>
        </w:rPr>
        <w:t>学业问题已经成为民族院校亟待解决</w:t>
      </w:r>
      <w:r>
        <w:rPr>
          <w:rFonts w:ascii="宋体" w:eastAsia="宋体" w:hAnsi="宋体" w:cs="Times New Roman" w:hint="eastAsia"/>
          <w:szCs w:val="21"/>
        </w:rPr>
        <w:t>的</w:t>
      </w:r>
      <w:r>
        <w:rPr>
          <w:rFonts w:ascii="宋体" w:eastAsia="宋体" w:hAnsi="宋体" w:cs="Times New Roman"/>
          <w:szCs w:val="21"/>
        </w:rPr>
        <w:t>问题</w:t>
      </w:r>
      <w:r>
        <w:rPr>
          <w:rFonts w:ascii="宋体" w:eastAsia="宋体" w:hAnsi="宋体" w:cs="Times New Roman" w:hint="eastAsia"/>
          <w:szCs w:val="21"/>
        </w:rPr>
        <w:t>。</w:t>
      </w:r>
    </w:p>
    <w:p w:rsidR="00721A26" w:rsidRDefault="00721A26" w:rsidP="00721A26">
      <w:pPr>
        <w:spacing w:line="288" w:lineRule="auto"/>
        <w:ind w:firstLine="420"/>
        <w:rPr>
          <w:rFonts w:ascii="宋体" w:eastAsia="宋体" w:hAnsi="宋体" w:cs="Times New Roman"/>
          <w:b/>
          <w:szCs w:val="21"/>
        </w:rPr>
      </w:pPr>
      <w:r>
        <w:rPr>
          <w:rFonts w:ascii="宋体" w:eastAsia="宋体" w:hAnsi="宋体" w:cs="Times New Roman" w:hint="eastAsia"/>
          <w:b/>
          <w:szCs w:val="21"/>
        </w:rPr>
        <w:t>一、理论基础与方案综述</w:t>
      </w:r>
    </w:p>
    <w:p w:rsidR="00721A26" w:rsidRDefault="00721A26" w:rsidP="00721A26">
      <w:pPr>
        <w:spacing w:line="288" w:lineRule="auto"/>
        <w:ind w:firstLine="420"/>
        <w:rPr>
          <w:rFonts w:ascii="宋体" w:eastAsia="宋体" w:hAnsi="宋体" w:cs="Times New Roman"/>
          <w:b/>
          <w:szCs w:val="21"/>
        </w:rPr>
      </w:pPr>
      <w:r>
        <w:rPr>
          <w:rFonts w:ascii="宋体" w:eastAsia="宋体" w:hAnsi="宋体" w:cs="Times New Roman" w:hint="eastAsia"/>
          <w:b/>
          <w:szCs w:val="21"/>
        </w:rPr>
        <w:t>（一）理论基础</w:t>
      </w:r>
    </w:p>
    <w:p w:rsidR="00721A26" w:rsidRDefault="00721A26" w:rsidP="00721A26">
      <w:pPr>
        <w:spacing w:line="288" w:lineRule="auto"/>
        <w:ind w:firstLine="420"/>
        <w:rPr>
          <w:rFonts w:ascii="宋体" w:eastAsia="宋体" w:hAnsi="宋体" w:cs="Times New Roman"/>
          <w:szCs w:val="21"/>
        </w:rPr>
      </w:pPr>
      <w:r>
        <w:rPr>
          <w:rFonts w:ascii="宋体" w:eastAsia="宋体" w:hAnsi="宋体" w:cs="Times New Roman" w:hint="eastAsia"/>
          <w:b/>
          <w:szCs w:val="21"/>
        </w:rPr>
        <w:t>1.“</w:t>
      </w:r>
      <w:r>
        <w:rPr>
          <w:rFonts w:ascii="宋体" w:eastAsia="宋体" w:hAnsi="宋体" w:cs="Times New Roman"/>
          <w:b/>
          <w:szCs w:val="21"/>
        </w:rPr>
        <w:t>学业困难学生</w:t>
      </w:r>
      <w:r>
        <w:rPr>
          <w:rFonts w:ascii="宋体" w:eastAsia="宋体" w:hAnsi="宋体" w:cs="Times New Roman" w:hint="eastAsia"/>
          <w:b/>
          <w:szCs w:val="21"/>
        </w:rPr>
        <w:t>”概念界定。</w:t>
      </w:r>
      <w:r>
        <w:rPr>
          <w:rFonts w:ascii="宋体" w:eastAsia="宋体" w:hAnsi="宋体" w:cs="Times New Roman" w:hint="eastAsia"/>
          <w:szCs w:val="21"/>
        </w:rPr>
        <w:t>总体</w:t>
      </w:r>
      <w:r>
        <w:rPr>
          <w:rFonts w:ascii="宋体" w:eastAsia="宋体" w:hAnsi="宋体" w:cs="Times New Roman"/>
          <w:szCs w:val="21"/>
        </w:rPr>
        <w:t>来看，</w:t>
      </w:r>
      <w:r>
        <w:rPr>
          <w:rFonts w:ascii="宋体" w:eastAsia="宋体" w:hAnsi="宋体" w:cs="Times New Roman" w:hint="eastAsia"/>
          <w:szCs w:val="21"/>
        </w:rPr>
        <w:t>民族</w:t>
      </w:r>
      <w:r>
        <w:rPr>
          <w:rFonts w:ascii="宋体" w:eastAsia="宋体" w:hAnsi="宋体" w:cs="Times New Roman"/>
          <w:szCs w:val="21"/>
        </w:rPr>
        <w:t>院校</w:t>
      </w:r>
      <w:r>
        <w:rPr>
          <w:rFonts w:ascii="宋体" w:eastAsia="宋体" w:hAnsi="宋体" w:cs="Times New Roman" w:hint="eastAsia"/>
          <w:szCs w:val="21"/>
        </w:rPr>
        <w:t>学业</w:t>
      </w:r>
      <w:r>
        <w:rPr>
          <w:rFonts w:ascii="宋体" w:eastAsia="宋体" w:hAnsi="宋体" w:cs="Times New Roman"/>
          <w:szCs w:val="21"/>
        </w:rPr>
        <w:t>困</w:t>
      </w:r>
      <w:r>
        <w:rPr>
          <w:rFonts w:ascii="宋体" w:eastAsia="宋体" w:hAnsi="宋体" w:cs="Times New Roman" w:hint="eastAsia"/>
          <w:szCs w:val="21"/>
        </w:rPr>
        <w:t>难学生表现</w:t>
      </w:r>
      <w:r>
        <w:rPr>
          <w:rFonts w:ascii="宋体" w:eastAsia="宋体" w:hAnsi="宋体" w:cs="Times New Roman"/>
          <w:szCs w:val="21"/>
        </w:rPr>
        <w:t>出</w:t>
      </w:r>
      <w:r>
        <w:rPr>
          <w:rFonts w:ascii="宋体" w:eastAsia="宋体" w:hAnsi="宋体" w:cs="Times New Roman" w:hint="eastAsia"/>
          <w:szCs w:val="21"/>
        </w:rPr>
        <w:t>三</w:t>
      </w:r>
      <w:r>
        <w:rPr>
          <w:rFonts w:ascii="宋体" w:eastAsia="宋体" w:hAnsi="宋体" w:cs="Times New Roman"/>
          <w:szCs w:val="21"/>
        </w:rPr>
        <w:t>类特征</w:t>
      </w:r>
      <w:r>
        <w:rPr>
          <w:rFonts w:ascii="宋体" w:eastAsia="宋体" w:hAnsi="宋体" w:cs="Times New Roman" w:hint="eastAsia"/>
          <w:szCs w:val="21"/>
        </w:rPr>
        <w:t>。</w:t>
      </w:r>
      <w:r>
        <w:rPr>
          <w:rFonts w:ascii="宋体" w:eastAsia="宋体" w:hAnsi="宋体" w:cs="Times New Roman"/>
          <w:szCs w:val="21"/>
        </w:rPr>
        <w:t>一是</w:t>
      </w:r>
      <w:r>
        <w:rPr>
          <w:rFonts w:ascii="宋体" w:eastAsia="宋体" w:hAnsi="宋体" w:cs="Times New Roman" w:hint="eastAsia"/>
          <w:szCs w:val="21"/>
        </w:rPr>
        <w:t>在学习上存在明显交流</w:t>
      </w:r>
      <w:r>
        <w:rPr>
          <w:rFonts w:ascii="宋体" w:eastAsia="宋体" w:hAnsi="宋体" w:cs="Times New Roman"/>
          <w:szCs w:val="21"/>
        </w:rPr>
        <w:t>沟通障碍</w:t>
      </w:r>
      <w:r>
        <w:rPr>
          <w:rFonts w:ascii="宋体" w:eastAsia="宋体" w:hAnsi="宋体" w:cs="Times New Roman" w:hint="eastAsia"/>
          <w:szCs w:val="21"/>
        </w:rPr>
        <w:t>，以</w:t>
      </w:r>
      <w:r>
        <w:rPr>
          <w:rFonts w:ascii="宋体" w:eastAsia="宋体" w:hAnsi="宋体" w:cs="Times New Roman"/>
          <w:szCs w:val="21"/>
        </w:rPr>
        <w:t>边疆少数民族学生为主，</w:t>
      </w:r>
      <w:r>
        <w:rPr>
          <w:rFonts w:ascii="宋体" w:eastAsia="宋体" w:hAnsi="宋体" w:cs="Times New Roman" w:hint="eastAsia"/>
          <w:szCs w:val="21"/>
        </w:rPr>
        <w:t>由</w:t>
      </w:r>
      <w:r>
        <w:rPr>
          <w:rFonts w:ascii="宋体" w:eastAsia="宋体" w:hAnsi="宋体" w:cs="Times New Roman"/>
          <w:szCs w:val="21"/>
        </w:rPr>
        <w:t>生活习惯、</w:t>
      </w:r>
      <w:r>
        <w:rPr>
          <w:rFonts w:ascii="宋体" w:eastAsia="宋体" w:hAnsi="宋体" w:cs="Times New Roman" w:hint="eastAsia"/>
          <w:szCs w:val="21"/>
        </w:rPr>
        <w:t>人际交往</w:t>
      </w:r>
      <w:r>
        <w:rPr>
          <w:rFonts w:ascii="宋体" w:eastAsia="宋体" w:hAnsi="宋体" w:cs="Times New Roman"/>
          <w:szCs w:val="21"/>
        </w:rPr>
        <w:t>、学习方法等存在的差异</w:t>
      </w:r>
      <w:r>
        <w:rPr>
          <w:rFonts w:ascii="宋体" w:eastAsia="宋体" w:hAnsi="宋体" w:cs="Times New Roman" w:hint="eastAsia"/>
          <w:szCs w:val="21"/>
        </w:rPr>
        <w:t>，</w:t>
      </w:r>
      <w:r>
        <w:rPr>
          <w:rFonts w:ascii="宋体" w:eastAsia="宋体" w:hAnsi="宋体" w:cs="Times New Roman"/>
          <w:szCs w:val="21"/>
        </w:rPr>
        <w:t>导致</w:t>
      </w:r>
      <w:r>
        <w:rPr>
          <w:rFonts w:ascii="宋体" w:eastAsia="宋体" w:hAnsi="宋体" w:cs="Times New Roman" w:hint="eastAsia"/>
          <w:szCs w:val="21"/>
        </w:rPr>
        <w:t>学习</w:t>
      </w:r>
      <w:r>
        <w:rPr>
          <w:rFonts w:ascii="宋体" w:eastAsia="宋体" w:hAnsi="宋体" w:cs="Times New Roman"/>
          <w:szCs w:val="21"/>
        </w:rPr>
        <w:t>积极性不高，出现</w:t>
      </w:r>
      <w:r>
        <w:rPr>
          <w:rFonts w:ascii="宋体" w:eastAsia="宋体" w:hAnsi="宋体" w:cs="Times New Roman" w:hint="eastAsia"/>
          <w:szCs w:val="21"/>
        </w:rPr>
        <w:t>旷课、挂科等现象；二是学业</w:t>
      </w:r>
      <w:r>
        <w:rPr>
          <w:rFonts w:ascii="宋体" w:eastAsia="宋体" w:hAnsi="宋体" w:cs="Times New Roman"/>
          <w:szCs w:val="21"/>
        </w:rPr>
        <w:t>基础较差，</w:t>
      </w:r>
      <w:r>
        <w:rPr>
          <w:rFonts w:ascii="宋体" w:eastAsia="宋体" w:hAnsi="宋体" w:cs="Times New Roman" w:hint="eastAsia"/>
          <w:szCs w:val="21"/>
        </w:rPr>
        <w:t>在</w:t>
      </w:r>
      <w:r>
        <w:rPr>
          <w:rFonts w:ascii="宋体" w:eastAsia="宋体" w:hAnsi="宋体" w:cs="Times New Roman"/>
          <w:szCs w:val="21"/>
        </w:rPr>
        <w:t>知识的获取、理解、运用</w:t>
      </w:r>
      <w:r>
        <w:rPr>
          <w:rFonts w:ascii="宋体" w:eastAsia="宋体" w:hAnsi="宋体" w:cs="Times New Roman" w:hint="eastAsia"/>
          <w:szCs w:val="21"/>
        </w:rPr>
        <w:t>等认知</w:t>
      </w:r>
      <w:r>
        <w:rPr>
          <w:rFonts w:ascii="宋体" w:eastAsia="宋体" w:hAnsi="宋体" w:cs="Times New Roman"/>
          <w:szCs w:val="21"/>
        </w:rPr>
        <w:t>上存在结构性缺陷，</w:t>
      </w:r>
      <w:r>
        <w:rPr>
          <w:rFonts w:ascii="宋体" w:eastAsia="宋体" w:hAnsi="宋体" w:cs="Times New Roman" w:hint="eastAsia"/>
          <w:szCs w:val="21"/>
        </w:rPr>
        <w:t>不能通过</w:t>
      </w:r>
      <w:r>
        <w:rPr>
          <w:rFonts w:ascii="宋体" w:eastAsia="宋体" w:hAnsi="宋体" w:cs="Times New Roman"/>
          <w:szCs w:val="21"/>
        </w:rPr>
        <w:t>本专业所学相关课程</w:t>
      </w:r>
      <w:r>
        <w:rPr>
          <w:rFonts w:ascii="宋体" w:eastAsia="宋体" w:hAnsi="宋体" w:cs="Times New Roman" w:hint="eastAsia"/>
          <w:szCs w:val="21"/>
        </w:rPr>
        <w:t>，</w:t>
      </w:r>
      <w:r>
        <w:rPr>
          <w:rFonts w:ascii="宋体" w:eastAsia="宋体" w:hAnsi="宋体" w:cs="Times New Roman"/>
          <w:szCs w:val="21"/>
        </w:rPr>
        <w:t>理工科学生较多</w:t>
      </w:r>
      <w:r>
        <w:rPr>
          <w:rFonts w:ascii="宋体" w:eastAsia="宋体" w:hAnsi="宋体" w:cs="Times New Roman" w:hint="eastAsia"/>
          <w:szCs w:val="21"/>
        </w:rPr>
        <w:t>；</w:t>
      </w:r>
      <w:r>
        <w:rPr>
          <w:rFonts w:ascii="宋体" w:eastAsia="宋体" w:hAnsi="宋体" w:cs="Times New Roman"/>
          <w:szCs w:val="21"/>
        </w:rPr>
        <w:t>三是因身心诱因、</w:t>
      </w:r>
      <w:r>
        <w:rPr>
          <w:rFonts w:ascii="宋体" w:eastAsia="宋体" w:hAnsi="宋体" w:cs="Times New Roman" w:hint="eastAsia"/>
          <w:szCs w:val="21"/>
        </w:rPr>
        <w:t>家庭环境</w:t>
      </w:r>
      <w:r>
        <w:rPr>
          <w:rFonts w:ascii="宋体" w:eastAsia="宋体" w:hAnsi="宋体" w:cs="Times New Roman"/>
          <w:szCs w:val="21"/>
        </w:rPr>
        <w:t>、经济水平</w:t>
      </w:r>
      <w:r>
        <w:rPr>
          <w:rFonts w:ascii="宋体" w:eastAsia="宋体" w:hAnsi="宋体" w:cs="Times New Roman" w:hint="eastAsia"/>
          <w:szCs w:val="21"/>
        </w:rPr>
        <w:t>、</w:t>
      </w:r>
      <w:r>
        <w:rPr>
          <w:rFonts w:ascii="宋体" w:eastAsia="宋体" w:hAnsi="宋体" w:cs="Times New Roman"/>
          <w:szCs w:val="21"/>
        </w:rPr>
        <w:t>社会活动等</w:t>
      </w:r>
      <w:r>
        <w:rPr>
          <w:rFonts w:ascii="宋体" w:eastAsia="宋体" w:hAnsi="宋体" w:cs="Times New Roman" w:hint="eastAsia"/>
          <w:szCs w:val="21"/>
        </w:rPr>
        <w:t>不可抗情况</w:t>
      </w:r>
      <w:r>
        <w:rPr>
          <w:rFonts w:ascii="宋体" w:eastAsia="宋体" w:hAnsi="宋体" w:cs="Times New Roman"/>
          <w:szCs w:val="21"/>
        </w:rPr>
        <w:t>，导致</w:t>
      </w:r>
      <w:r>
        <w:rPr>
          <w:rFonts w:ascii="宋体" w:eastAsia="宋体" w:hAnsi="宋体" w:cs="Times New Roman" w:hint="eastAsia"/>
          <w:szCs w:val="21"/>
        </w:rPr>
        <w:t>学业</w:t>
      </w:r>
      <w:r>
        <w:rPr>
          <w:rFonts w:ascii="宋体" w:eastAsia="宋体" w:hAnsi="宋体" w:cs="Times New Roman"/>
          <w:szCs w:val="21"/>
        </w:rPr>
        <w:t>不能正常进行</w:t>
      </w:r>
      <w:r>
        <w:rPr>
          <w:rFonts w:ascii="宋体" w:eastAsia="宋体" w:hAnsi="宋体" w:cs="Times New Roman" w:hint="eastAsia"/>
          <w:szCs w:val="21"/>
        </w:rPr>
        <w:t>。这</w:t>
      </w:r>
      <w:r>
        <w:rPr>
          <w:rFonts w:ascii="宋体" w:eastAsia="宋体" w:hAnsi="宋体" w:cs="Times New Roman"/>
          <w:szCs w:val="21"/>
        </w:rPr>
        <w:t>三种状态都容易引发学习态度问题，</w:t>
      </w:r>
      <w:r>
        <w:rPr>
          <w:rFonts w:ascii="宋体" w:eastAsia="宋体" w:hAnsi="宋体" w:cs="Times New Roman" w:hint="eastAsia"/>
          <w:szCs w:val="21"/>
        </w:rPr>
        <w:t>学生</w:t>
      </w:r>
      <w:r>
        <w:rPr>
          <w:rFonts w:ascii="宋体" w:eastAsia="宋体" w:hAnsi="宋体" w:cs="Times New Roman"/>
          <w:szCs w:val="21"/>
        </w:rPr>
        <w:t>极易表现出一定的厌学、自我</w:t>
      </w:r>
      <w:r>
        <w:rPr>
          <w:rFonts w:ascii="宋体" w:eastAsia="宋体" w:hAnsi="宋体" w:cs="Times New Roman" w:hint="eastAsia"/>
          <w:szCs w:val="21"/>
        </w:rPr>
        <w:t>消极</w:t>
      </w:r>
      <w:r>
        <w:rPr>
          <w:rFonts w:ascii="宋体" w:eastAsia="宋体" w:hAnsi="宋体" w:cs="Times New Roman"/>
          <w:szCs w:val="21"/>
        </w:rPr>
        <w:t>，对学习缺乏热情，</w:t>
      </w:r>
      <w:r>
        <w:rPr>
          <w:rFonts w:ascii="宋体" w:eastAsia="宋体" w:hAnsi="宋体" w:cs="Times New Roman" w:hint="eastAsia"/>
          <w:szCs w:val="21"/>
        </w:rPr>
        <w:t>甚至排斥</w:t>
      </w:r>
      <w:r>
        <w:rPr>
          <w:rFonts w:ascii="宋体" w:eastAsia="宋体" w:hAnsi="宋体" w:cs="Times New Roman"/>
          <w:szCs w:val="21"/>
        </w:rPr>
        <w:t>学习</w:t>
      </w:r>
      <w:r>
        <w:rPr>
          <w:rFonts w:ascii="宋体" w:eastAsia="宋体" w:hAnsi="宋体" w:cs="Times New Roman" w:hint="eastAsia"/>
          <w:szCs w:val="21"/>
        </w:rPr>
        <w:t>，以至</w:t>
      </w:r>
      <w:r>
        <w:rPr>
          <w:rFonts w:ascii="宋体" w:eastAsia="宋体" w:hAnsi="宋体" w:cs="Times New Roman"/>
          <w:szCs w:val="21"/>
        </w:rPr>
        <w:t>不能</w:t>
      </w:r>
      <w:r>
        <w:rPr>
          <w:rFonts w:ascii="宋体" w:eastAsia="宋体" w:hAnsi="宋体" w:cs="Times New Roman" w:hint="eastAsia"/>
          <w:szCs w:val="21"/>
        </w:rPr>
        <w:t>在规定的年限</w:t>
      </w:r>
      <w:r>
        <w:rPr>
          <w:rFonts w:ascii="宋体" w:eastAsia="宋体" w:hAnsi="宋体" w:cs="Times New Roman"/>
          <w:szCs w:val="21"/>
        </w:rPr>
        <w:t>完成</w:t>
      </w:r>
      <w:r>
        <w:rPr>
          <w:rFonts w:ascii="宋体" w:eastAsia="宋体" w:hAnsi="宋体" w:cs="Times New Roman" w:hint="eastAsia"/>
          <w:szCs w:val="21"/>
        </w:rPr>
        <w:t>学业修业年限内顺利毕业。</w:t>
      </w:r>
    </w:p>
    <w:p w:rsidR="00721A26" w:rsidRDefault="00721A26" w:rsidP="00721A26">
      <w:pPr>
        <w:spacing w:line="288" w:lineRule="auto"/>
        <w:ind w:firstLine="420"/>
        <w:rPr>
          <w:rFonts w:ascii="宋体" w:eastAsia="宋体" w:hAnsi="宋体" w:cs="Times New Roman"/>
          <w:szCs w:val="21"/>
        </w:rPr>
      </w:pPr>
      <w:r>
        <w:rPr>
          <w:rFonts w:ascii="宋体" w:eastAsia="宋体" w:hAnsi="宋体" w:cs="Times New Roman" w:hint="eastAsia"/>
          <w:b/>
          <w:szCs w:val="21"/>
        </w:rPr>
        <w:t>2.“学业</w:t>
      </w:r>
      <w:r>
        <w:rPr>
          <w:rFonts w:ascii="宋体" w:eastAsia="宋体" w:hAnsi="宋体" w:cs="Times New Roman"/>
          <w:b/>
          <w:szCs w:val="21"/>
        </w:rPr>
        <w:t>预警</w:t>
      </w:r>
      <w:r>
        <w:rPr>
          <w:rFonts w:ascii="宋体" w:eastAsia="宋体" w:hAnsi="宋体" w:cs="Times New Roman" w:hint="eastAsia"/>
          <w:b/>
          <w:szCs w:val="21"/>
        </w:rPr>
        <w:t>”概念界定。</w:t>
      </w:r>
      <w:r>
        <w:rPr>
          <w:rFonts w:ascii="宋体" w:eastAsia="宋体" w:hAnsi="宋体" w:cs="Times New Roman" w:hint="eastAsia"/>
          <w:szCs w:val="21"/>
        </w:rPr>
        <w:t>一些高校</w:t>
      </w:r>
      <w:r>
        <w:rPr>
          <w:rFonts w:ascii="宋体" w:eastAsia="宋体" w:hAnsi="宋体" w:cs="Times New Roman"/>
          <w:szCs w:val="21"/>
        </w:rPr>
        <w:t>开始探索学业预警制度</w:t>
      </w:r>
      <w:r>
        <w:rPr>
          <w:rFonts w:ascii="宋体" w:eastAsia="宋体" w:hAnsi="宋体" w:cs="Times New Roman" w:hint="eastAsia"/>
          <w:szCs w:val="21"/>
        </w:rPr>
        <w:t>，跟踪学生学习状态，发现异常学习行为及时预警，帮助学生顺利完成学业。有学者认为</w:t>
      </w:r>
      <w:r>
        <w:rPr>
          <w:rFonts w:ascii="宋体" w:eastAsia="宋体" w:hAnsi="宋体" w:cs="Times New Roman"/>
          <w:szCs w:val="21"/>
        </w:rPr>
        <w:t>学业预警</w:t>
      </w:r>
      <w:r>
        <w:rPr>
          <w:rFonts w:ascii="宋体" w:eastAsia="宋体" w:hAnsi="宋体" w:cs="Times New Roman" w:hint="eastAsia"/>
          <w:szCs w:val="21"/>
        </w:rPr>
        <w:t>指高校依据学籍管理办法和各专业人才培养计划的有关规定，利用信息技术等手段，对学生的学习情况进行统计，对学生可能或已经发生的学习问题和学业困难进行告知和警示，并采取相应帮扶措施，通过学校、家长、学生三方之间的沟通合作，确保学生顺利完成学业的一种危机干预制度。</w:t>
      </w:r>
      <w:r>
        <w:rPr>
          <w:rFonts w:ascii="宋体" w:eastAsia="宋体" w:hAnsi="宋体" w:cs="Times New Roman"/>
          <w:szCs w:val="21"/>
          <w:vertAlign w:val="superscript"/>
        </w:rPr>
        <w:footnoteReference w:id="4"/>
      </w:r>
    </w:p>
    <w:p w:rsidR="00721A26" w:rsidRDefault="00721A26" w:rsidP="00721A26">
      <w:pPr>
        <w:spacing w:line="288" w:lineRule="auto"/>
        <w:ind w:firstLine="420"/>
        <w:rPr>
          <w:rFonts w:ascii="宋体" w:eastAsia="宋体" w:hAnsi="宋体" w:cs="Times New Roman"/>
          <w:szCs w:val="21"/>
        </w:rPr>
      </w:pPr>
      <w:r>
        <w:rPr>
          <w:rFonts w:ascii="宋体" w:eastAsia="宋体" w:hAnsi="宋体" w:cs="Times New Roman" w:hint="eastAsia"/>
          <w:b/>
          <w:szCs w:val="21"/>
        </w:rPr>
        <w:t>3.“精准帮扶”概念界定。</w:t>
      </w:r>
      <w:r>
        <w:rPr>
          <w:rFonts w:ascii="宋体" w:eastAsia="宋体" w:hAnsi="宋体" w:cs="Times New Roman" w:hint="eastAsia"/>
          <w:szCs w:val="21"/>
        </w:rPr>
        <w:t>所谓“精准帮扶”是指高校针对不同的“学困生”，精准识别其学</w:t>
      </w:r>
      <w:r>
        <w:rPr>
          <w:rFonts w:ascii="宋体" w:eastAsia="宋体" w:hAnsi="宋体" w:cs="Times New Roman" w:hint="eastAsia"/>
          <w:szCs w:val="21"/>
        </w:rPr>
        <w:lastRenderedPageBreak/>
        <w:t>业问题产生的原因，通过差异化的帮扶形式，提升帮扶措施与“学困生”需求之间的契合度，最大限度发挥帮扶措施的效能。</w:t>
      </w:r>
      <w:r>
        <w:rPr>
          <w:rFonts w:ascii="宋体" w:eastAsia="宋体" w:hAnsi="宋体" w:cs="Times New Roman"/>
          <w:szCs w:val="21"/>
          <w:vertAlign w:val="superscript"/>
        </w:rPr>
        <w:footnoteReference w:id="5"/>
      </w:r>
      <w:r>
        <w:rPr>
          <w:rFonts w:ascii="宋体" w:eastAsia="宋体" w:hAnsi="宋体" w:cs="Times New Roman" w:hint="eastAsia"/>
          <w:szCs w:val="21"/>
        </w:rPr>
        <w:t>精准识别“学困生”，</w:t>
      </w:r>
      <w:r>
        <w:rPr>
          <w:rFonts w:ascii="宋体" w:eastAsia="宋体" w:hAnsi="宋体" w:cs="Times New Roman"/>
          <w:szCs w:val="21"/>
        </w:rPr>
        <w:t>做好学业预警就是</w:t>
      </w:r>
      <w:r>
        <w:rPr>
          <w:rFonts w:ascii="宋体" w:eastAsia="宋体" w:hAnsi="宋体" w:cs="Times New Roman" w:hint="eastAsia"/>
          <w:szCs w:val="21"/>
        </w:rPr>
        <w:t>做好精准帮扶工作的前提。</w:t>
      </w:r>
    </w:p>
    <w:p w:rsidR="00721A26" w:rsidRDefault="00721A26" w:rsidP="00721A26">
      <w:pPr>
        <w:spacing w:line="288" w:lineRule="auto"/>
        <w:ind w:firstLine="420"/>
        <w:rPr>
          <w:rFonts w:ascii="宋体" w:eastAsia="宋体" w:hAnsi="宋体" w:cs="Times New Roman"/>
          <w:szCs w:val="21"/>
        </w:rPr>
      </w:pPr>
      <w:r>
        <w:rPr>
          <w:rFonts w:ascii="宋体" w:eastAsia="宋体" w:hAnsi="宋体" w:cs="Times New Roman" w:hint="eastAsia"/>
          <w:b/>
          <w:szCs w:val="21"/>
        </w:rPr>
        <w:t>4.过程性</w:t>
      </w:r>
      <w:r>
        <w:rPr>
          <w:rFonts w:ascii="宋体" w:eastAsia="宋体" w:hAnsi="宋体" w:cs="Times New Roman"/>
          <w:b/>
          <w:szCs w:val="21"/>
        </w:rPr>
        <w:t>评价理</w:t>
      </w:r>
      <w:r>
        <w:rPr>
          <w:rFonts w:ascii="宋体" w:eastAsia="宋体" w:hAnsi="宋体" w:cs="Times New Roman" w:hint="eastAsia"/>
          <w:b/>
          <w:szCs w:val="21"/>
        </w:rPr>
        <w:t>念。</w:t>
      </w:r>
      <w:r>
        <w:rPr>
          <w:rFonts w:ascii="宋体" w:eastAsia="宋体" w:hAnsi="宋体" w:cs="Times New Roman" w:hint="eastAsia"/>
          <w:szCs w:val="21"/>
        </w:rPr>
        <w:t>学业</w:t>
      </w:r>
      <w:r>
        <w:rPr>
          <w:rFonts w:ascii="宋体" w:eastAsia="宋体" w:hAnsi="宋体" w:cs="Times New Roman"/>
          <w:szCs w:val="21"/>
        </w:rPr>
        <w:t>预警是</w:t>
      </w:r>
      <w:r>
        <w:rPr>
          <w:rFonts w:ascii="宋体" w:eastAsia="宋体" w:hAnsi="宋体" w:cs="Times New Roman" w:hint="eastAsia"/>
          <w:szCs w:val="21"/>
        </w:rPr>
        <w:t>以</w:t>
      </w:r>
      <w:r>
        <w:rPr>
          <w:rFonts w:ascii="宋体" w:eastAsia="宋体" w:hAnsi="宋体" w:cs="Times New Roman"/>
          <w:szCs w:val="21"/>
        </w:rPr>
        <w:t>过程性</w:t>
      </w:r>
      <w:r>
        <w:rPr>
          <w:rFonts w:ascii="宋体" w:eastAsia="宋体" w:hAnsi="宋体" w:cs="Times New Roman" w:hint="eastAsia"/>
          <w:szCs w:val="21"/>
        </w:rPr>
        <w:t>评价为主</w:t>
      </w:r>
      <w:r>
        <w:rPr>
          <w:rFonts w:ascii="宋体" w:eastAsia="宋体" w:hAnsi="宋体" w:cs="Times New Roman"/>
          <w:szCs w:val="21"/>
        </w:rPr>
        <w:t>，</w:t>
      </w:r>
      <w:r>
        <w:rPr>
          <w:rFonts w:ascii="宋体" w:eastAsia="宋体" w:hAnsi="宋体" w:cs="Times New Roman" w:hint="eastAsia"/>
          <w:szCs w:val="21"/>
        </w:rPr>
        <w:t>重点关注学业困难</w:t>
      </w:r>
      <w:r>
        <w:rPr>
          <w:rFonts w:ascii="宋体" w:eastAsia="宋体" w:hAnsi="宋体" w:cs="Times New Roman"/>
          <w:szCs w:val="21"/>
        </w:rPr>
        <w:t>学生修读年限内的</w:t>
      </w:r>
      <w:r>
        <w:rPr>
          <w:rFonts w:ascii="宋体" w:eastAsia="宋体" w:hAnsi="宋体" w:cs="Times New Roman" w:hint="eastAsia"/>
          <w:szCs w:val="21"/>
        </w:rPr>
        <w:t>学业</w:t>
      </w:r>
      <w:r>
        <w:rPr>
          <w:rFonts w:ascii="宋体" w:eastAsia="宋体" w:hAnsi="宋体" w:cs="Times New Roman"/>
          <w:szCs w:val="21"/>
        </w:rPr>
        <w:t>情况，</w:t>
      </w:r>
      <w:r>
        <w:rPr>
          <w:rFonts w:ascii="宋体" w:eastAsia="宋体" w:hAnsi="宋体" w:cs="Times New Roman" w:hint="eastAsia"/>
          <w:szCs w:val="21"/>
        </w:rPr>
        <w:t>采取目标与过程并重的价值取向</w:t>
      </w:r>
      <w:r>
        <w:rPr>
          <w:rFonts w:ascii="宋体" w:eastAsia="宋体" w:hAnsi="宋体" w:cs="Times New Roman"/>
          <w:szCs w:val="21"/>
        </w:rPr>
        <w:t>,对学习的动机、效果、过程以及与学习密切相关的非智力因素进行全面的</w:t>
      </w:r>
      <w:r>
        <w:rPr>
          <w:rFonts w:ascii="宋体" w:eastAsia="宋体" w:hAnsi="宋体" w:cs="Times New Roman" w:hint="eastAsia"/>
          <w:szCs w:val="21"/>
        </w:rPr>
        <w:t>评价。</w:t>
      </w:r>
      <w:r>
        <w:rPr>
          <w:rFonts w:ascii="宋体" w:eastAsia="宋体" w:hAnsi="宋体" w:cs="Times New Roman"/>
          <w:szCs w:val="21"/>
          <w:vertAlign w:val="superscript"/>
        </w:rPr>
        <w:footnoteReference w:id="6"/>
      </w:r>
      <w:r>
        <w:rPr>
          <w:rFonts w:ascii="宋体" w:eastAsia="宋体" w:hAnsi="宋体" w:cs="Times New Roman"/>
          <w:szCs w:val="21"/>
        </w:rPr>
        <w:t>如</w:t>
      </w:r>
      <w:r>
        <w:rPr>
          <w:rFonts w:ascii="宋体" w:eastAsia="宋体" w:hAnsi="宋体" w:cs="Times New Roman" w:hint="eastAsia"/>
          <w:szCs w:val="21"/>
        </w:rPr>
        <w:t>考试</w:t>
      </w:r>
      <w:r>
        <w:rPr>
          <w:rFonts w:ascii="宋体" w:eastAsia="宋体" w:hAnsi="宋体" w:cs="Times New Roman"/>
          <w:szCs w:val="21"/>
        </w:rPr>
        <w:t>成绩、学分修</w:t>
      </w:r>
      <w:r>
        <w:rPr>
          <w:rFonts w:ascii="宋体" w:eastAsia="宋体" w:hAnsi="宋体" w:cs="Times New Roman" w:hint="eastAsia"/>
          <w:szCs w:val="21"/>
        </w:rPr>
        <w:t>得</w:t>
      </w:r>
      <w:r>
        <w:rPr>
          <w:rFonts w:ascii="宋体" w:eastAsia="宋体" w:hAnsi="宋体" w:cs="Times New Roman"/>
          <w:szCs w:val="21"/>
        </w:rPr>
        <w:t>、</w:t>
      </w:r>
      <w:r>
        <w:rPr>
          <w:rFonts w:ascii="宋体" w:eastAsia="宋体" w:hAnsi="宋体" w:cs="Times New Roman" w:hint="eastAsia"/>
          <w:szCs w:val="21"/>
        </w:rPr>
        <w:t>选课</w:t>
      </w:r>
      <w:r>
        <w:rPr>
          <w:rFonts w:ascii="宋体" w:eastAsia="宋体" w:hAnsi="宋体" w:cs="Times New Roman"/>
          <w:szCs w:val="21"/>
        </w:rPr>
        <w:t>、旷课、</w:t>
      </w:r>
      <w:r>
        <w:rPr>
          <w:rFonts w:ascii="宋体" w:eastAsia="宋体" w:hAnsi="宋体" w:cs="Times New Roman" w:hint="eastAsia"/>
          <w:szCs w:val="21"/>
        </w:rPr>
        <w:t>学习态度</w:t>
      </w:r>
      <w:r>
        <w:rPr>
          <w:rFonts w:ascii="宋体" w:eastAsia="宋体" w:hAnsi="宋体" w:cs="Times New Roman"/>
          <w:szCs w:val="21"/>
        </w:rPr>
        <w:t>、</w:t>
      </w:r>
      <w:r>
        <w:rPr>
          <w:rFonts w:ascii="宋体" w:eastAsia="宋体" w:hAnsi="宋体" w:cs="Times New Roman" w:hint="eastAsia"/>
          <w:szCs w:val="21"/>
        </w:rPr>
        <w:t>违纪</w:t>
      </w:r>
      <w:r>
        <w:rPr>
          <w:rFonts w:ascii="宋体" w:eastAsia="宋体" w:hAnsi="宋体" w:cs="Times New Roman"/>
          <w:szCs w:val="21"/>
        </w:rPr>
        <w:t>等指标，</w:t>
      </w:r>
      <w:r>
        <w:rPr>
          <w:rFonts w:ascii="宋体" w:eastAsia="宋体" w:hAnsi="宋体" w:cs="Times New Roman" w:hint="eastAsia"/>
          <w:szCs w:val="21"/>
        </w:rPr>
        <w:t>判断其是否达到预警标准，是对学生是否</w:t>
      </w:r>
      <w:r>
        <w:rPr>
          <w:rFonts w:ascii="宋体" w:eastAsia="宋体" w:hAnsi="宋体" w:cs="Times New Roman"/>
          <w:szCs w:val="21"/>
        </w:rPr>
        <w:t>能正常</w:t>
      </w:r>
      <w:r>
        <w:rPr>
          <w:rFonts w:ascii="宋体" w:eastAsia="宋体" w:hAnsi="宋体" w:cs="Times New Roman" w:hint="eastAsia"/>
          <w:szCs w:val="21"/>
        </w:rPr>
        <w:t>毕业，</w:t>
      </w:r>
      <w:r>
        <w:rPr>
          <w:rFonts w:ascii="宋体" w:eastAsia="宋体" w:hAnsi="宋体" w:cs="Times New Roman"/>
          <w:szCs w:val="21"/>
        </w:rPr>
        <w:t>实现育人目标的</w:t>
      </w:r>
      <w:r>
        <w:rPr>
          <w:rFonts w:ascii="宋体" w:eastAsia="宋体" w:hAnsi="宋体" w:cs="Times New Roman" w:hint="eastAsia"/>
          <w:szCs w:val="21"/>
        </w:rPr>
        <w:t>评价方式的一种补充。</w:t>
      </w:r>
      <w:r>
        <w:rPr>
          <w:rFonts w:ascii="宋体" w:eastAsia="宋体" w:hAnsi="宋体" w:cs="Times New Roman"/>
          <w:szCs w:val="21"/>
        </w:rPr>
        <w:t xml:space="preserve"> </w:t>
      </w:r>
    </w:p>
    <w:p w:rsidR="00721A26" w:rsidRDefault="00721A26" w:rsidP="00721A26">
      <w:pPr>
        <w:spacing w:line="288" w:lineRule="auto"/>
        <w:ind w:firstLine="420"/>
        <w:rPr>
          <w:rFonts w:ascii="宋体" w:eastAsia="宋体" w:hAnsi="宋体" w:cs="Times New Roman"/>
          <w:b/>
          <w:szCs w:val="21"/>
        </w:rPr>
      </w:pPr>
      <w:r>
        <w:rPr>
          <w:rFonts w:ascii="宋体" w:eastAsia="宋体" w:hAnsi="宋体" w:cs="Times New Roman" w:hint="eastAsia"/>
          <w:b/>
          <w:szCs w:val="21"/>
        </w:rPr>
        <w:t>（二）方案综述。</w:t>
      </w:r>
      <w:r>
        <w:rPr>
          <w:rFonts w:ascii="宋体" w:eastAsia="宋体" w:hAnsi="宋体" w:cs="Times New Roman" w:hint="eastAsia"/>
          <w:szCs w:val="21"/>
        </w:rPr>
        <w:t>目前，国内有关学业预警机制还处于探索阶段，各个高校预警体系标准还存在一定的差异。总体上有关学业</w:t>
      </w:r>
      <w:r>
        <w:rPr>
          <w:rFonts w:ascii="宋体" w:eastAsia="宋体" w:hAnsi="宋体" w:cs="Times New Roman" w:hint="eastAsia"/>
          <w:color w:val="000000"/>
          <w:szCs w:val="21"/>
        </w:rPr>
        <w:t>预警机制的研究有着</w:t>
      </w:r>
      <w:r>
        <w:rPr>
          <w:rFonts w:ascii="宋体" w:eastAsia="宋体" w:hAnsi="宋体" w:cs="Times New Roman"/>
          <w:color w:val="000000"/>
          <w:szCs w:val="21"/>
        </w:rPr>
        <w:t>4</w:t>
      </w:r>
      <w:r>
        <w:rPr>
          <w:rFonts w:ascii="宋体" w:eastAsia="宋体" w:hAnsi="宋体" w:cs="Times New Roman" w:hint="eastAsia"/>
          <w:color w:val="000000"/>
          <w:szCs w:val="21"/>
        </w:rPr>
        <w:t>个方面的内容，即学业预警流程、学业预警维度，学业预警的级别及测量指标，学业预警的保障体系。</w:t>
      </w:r>
    </w:p>
    <w:p w:rsidR="00721A26" w:rsidRDefault="00721A26" w:rsidP="00721A26">
      <w:pPr>
        <w:spacing w:line="288" w:lineRule="auto"/>
        <w:ind w:firstLine="420"/>
        <w:rPr>
          <w:rFonts w:ascii="宋体" w:eastAsia="宋体" w:hAnsi="宋体" w:cs="Times New Roman"/>
          <w:b/>
          <w:szCs w:val="21"/>
        </w:rPr>
      </w:pPr>
      <w:r>
        <w:rPr>
          <w:rFonts w:ascii="宋体" w:eastAsia="宋体" w:hAnsi="宋体" w:cs="Times New Roman" w:hint="eastAsia"/>
          <w:b/>
          <w:szCs w:val="21"/>
        </w:rPr>
        <w:t>1.学业预警流程的研究</w:t>
      </w:r>
    </w:p>
    <w:p w:rsidR="00721A26" w:rsidRDefault="00721A26" w:rsidP="00721A26">
      <w:pPr>
        <w:spacing w:line="288" w:lineRule="auto"/>
        <w:ind w:firstLineChars="200" w:firstLine="420"/>
        <w:rPr>
          <w:rFonts w:ascii="宋体" w:eastAsia="宋体" w:hAnsi="宋体" w:cs="Times New Roman"/>
          <w:szCs w:val="21"/>
        </w:rPr>
      </w:pPr>
      <w:r>
        <w:rPr>
          <w:rFonts w:ascii="宋体" w:eastAsia="宋体" w:hAnsi="宋体" w:cs="Times New Roman"/>
          <w:noProof/>
          <w:szCs w:val="21"/>
        </w:rPr>
        <w:drawing>
          <wp:anchor distT="0" distB="0" distL="114300" distR="114300" simplePos="0" relativeHeight="251663360" behindDoc="0" locked="0" layoutInCell="1" allowOverlap="1" wp14:anchorId="63F179B0" wp14:editId="41D6315D">
            <wp:simplePos x="0" y="0"/>
            <wp:positionH relativeFrom="column">
              <wp:posOffset>228600</wp:posOffset>
            </wp:positionH>
            <wp:positionV relativeFrom="paragraph">
              <wp:posOffset>282575</wp:posOffset>
            </wp:positionV>
            <wp:extent cx="5048250" cy="2875915"/>
            <wp:effectExtent l="0" t="0" r="0" b="635"/>
            <wp:wrapTopAndBottom/>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048250" cy="2875915"/>
                    </a:xfrm>
                    <a:prstGeom prst="rect">
                      <a:avLst/>
                    </a:prstGeom>
                    <a:noFill/>
                    <a:ln>
                      <a:noFill/>
                    </a:ln>
                  </pic:spPr>
                </pic:pic>
              </a:graphicData>
            </a:graphic>
          </wp:anchor>
        </w:drawing>
      </w:r>
    </w:p>
    <w:p w:rsidR="00721A26" w:rsidRDefault="00721A26" w:rsidP="00721A26">
      <w:pPr>
        <w:spacing w:line="288" w:lineRule="auto"/>
        <w:jc w:val="center"/>
        <w:rPr>
          <w:rFonts w:ascii="宋体" w:eastAsia="宋体" w:hAnsi="宋体" w:cs="Times New Roman"/>
          <w:szCs w:val="21"/>
        </w:rPr>
      </w:pPr>
      <w:bookmarkStart w:id="2" w:name="_Toc450228842"/>
      <w:bookmarkStart w:id="3" w:name="_Toc448822902"/>
      <w:r>
        <w:rPr>
          <w:rFonts w:ascii="宋体" w:eastAsia="宋体" w:hAnsi="宋体" w:cs="Times New Roman" w:hint="eastAsia"/>
          <w:szCs w:val="21"/>
        </w:rPr>
        <w:t>图</w:t>
      </w:r>
      <w:r>
        <w:rPr>
          <w:rFonts w:ascii="宋体" w:eastAsia="宋体" w:hAnsi="宋体" w:cs="Times New Roman"/>
          <w:szCs w:val="21"/>
        </w:rPr>
        <w:t>1.</w:t>
      </w:r>
      <w:r>
        <w:rPr>
          <w:rFonts w:ascii="宋体" w:eastAsia="宋体" w:hAnsi="宋体" w:cs="Times New Roman"/>
          <w:szCs w:val="21"/>
        </w:rPr>
        <w:fldChar w:fldCharType="begin"/>
      </w:r>
      <w:r>
        <w:rPr>
          <w:rFonts w:ascii="宋体" w:eastAsia="宋体" w:hAnsi="宋体" w:cs="Times New Roman"/>
          <w:szCs w:val="21"/>
        </w:rPr>
        <w:instrText xml:space="preserve"> SEQ </w:instrText>
      </w:r>
      <w:r>
        <w:rPr>
          <w:rFonts w:ascii="宋体" w:eastAsia="宋体" w:hAnsi="宋体" w:cs="Times New Roman" w:hint="eastAsia"/>
          <w:szCs w:val="21"/>
        </w:rPr>
        <w:instrText>图</w:instrText>
      </w:r>
      <w:r>
        <w:rPr>
          <w:rFonts w:ascii="宋体" w:eastAsia="宋体" w:hAnsi="宋体" w:cs="Times New Roman"/>
          <w:szCs w:val="21"/>
        </w:rPr>
        <w:instrText xml:space="preserve">5. \* ARABIC </w:instrText>
      </w:r>
      <w:r>
        <w:rPr>
          <w:rFonts w:ascii="宋体" w:eastAsia="宋体" w:hAnsi="宋体" w:cs="Times New Roman"/>
          <w:szCs w:val="21"/>
        </w:rPr>
        <w:fldChar w:fldCharType="separate"/>
      </w:r>
      <w:r>
        <w:rPr>
          <w:rFonts w:ascii="宋体" w:eastAsia="宋体" w:hAnsi="宋体" w:cs="Times New Roman"/>
          <w:szCs w:val="21"/>
        </w:rPr>
        <w:t>1</w:t>
      </w:r>
      <w:r>
        <w:rPr>
          <w:rFonts w:ascii="宋体" w:eastAsia="宋体" w:hAnsi="宋体" w:cs="Times New Roman"/>
          <w:szCs w:val="21"/>
        </w:rPr>
        <w:fldChar w:fldCharType="end"/>
      </w:r>
      <w:r>
        <w:rPr>
          <w:rFonts w:ascii="宋体" w:eastAsia="宋体" w:hAnsi="宋体" w:cs="Times New Roman" w:hint="eastAsia"/>
          <w:szCs w:val="21"/>
        </w:rPr>
        <w:t>：基于课程成绩单维度的学业预警流程图</w:t>
      </w:r>
      <w:r>
        <w:rPr>
          <w:rFonts w:ascii="宋体" w:eastAsia="宋体" w:hAnsi="宋体" w:cs="Times New Roman"/>
          <w:szCs w:val="21"/>
        </w:rPr>
        <w:t>1</w:t>
      </w:r>
      <w:r>
        <w:rPr>
          <w:rFonts w:ascii="宋体" w:eastAsia="宋体" w:hAnsi="宋体" w:cs="Times New Roman"/>
          <w:szCs w:val="21"/>
          <w:vertAlign w:val="superscript"/>
        </w:rPr>
        <w:footnoteReference w:id="7"/>
      </w:r>
      <w:bookmarkEnd w:id="2"/>
      <w:bookmarkEnd w:id="3"/>
    </w:p>
    <w:p w:rsidR="00721A26" w:rsidRDefault="00721A26" w:rsidP="00721A26">
      <w:pPr>
        <w:spacing w:line="288" w:lineRule="auto"/>
        <w:ind w:firstLineChars="200" w:firstLine="420"/>
        <w:rPr>
          <w:rFonts w:ascii="宋体" w:eastAsia="宋体" w:hAnsi="宋体" w:cs="Times New Roman"/>
          <w:szCs w:val="21"/>
        </w:rPr>
      </w:pPr>
    </w:p>
    <w:p w:rsidR="00721A26" w:rsidRDefault="00721A26" w:rsidP="00721A26">
      <w:pPr>
        <w:spacing w:line="288" w:lineRule="auto"/>
        <w:ind w:firstLineChars="200" w:firstLine="420"/>
        <w:rPr>
          <w:rFonts w:ascii="宋体" w:eastAsia="宋体" w:hAnsi="宋体" w:cs="Times New Roman"/>
          <w:szCs w:val="21"/>
        </w:rPr>
      </w:pPr>
      <w:r>
        <w:rPr>
          <w:rFonts w:ascii="宋体" w:eastAsia="宋体" w:hAnsi="宋体" w:cs="Times New Roman" w:hint="eastAsia"/>
          <w:szCs w:val="21"/>
        </w:rPr>
        <w:t>如上图</w:t>
      </w:r>
      <w:r>
        <w:rPr>
          <w:rFonts w:ascii="宋体" w:eastAsia="宋体" w:hAnsi="宋体" w:cs="Times New Roman"/>
          <w:szCs w:val="21"/>
        </w:rPr>
        <w:t>1.1</w:t>
      </w:r>
      <w:r>
        <w:rPr>
          <w:rFonts w:ascii="宋体" w:eastAsia="宋体" w:hAnsi="宋体" w:cs="Times New Roman" w:hint="eastAsia"/>
          <w:szCs w:val="21"/>
        </w:rPr>
        <w:t>所示，基于实践论的角度，有学者提出以学业成绩这一类预警指标进行预警，并简述了预警的一般流程。包含</w:t>
      </w:r>
      <w:r>
        <w:rPr>
          <w:rFonts w:ascii="宋体" w:eastAsia="宋体" w:hAnsi="宋体" w:cs="Times New Roman"/>
          <w:szCs w:val="21"/>
        </w:rPr>
        <w:t>8</w:t>
      </w:r>
      <w:r>
        <w:rPr>
          <w:rFonts w:ascii="宋体" w:eastAsia="宋体" w:hAnsi="宋体" w:cs="Times New Roman" w:hint="eastAsia"/>
          <w:szCs w:val="21"/>
        </w:rPr>
        <w:t>个过程，即启动、筛选、亮牌（原文分成</w:t>
      </w:r>
      <w:r>
        <w:rPr>
          <w:rFonts w:ascii="宋体" w:eastAsia="宋体" w:hAnsi="宋体" w:cs="Times New Roman"/>
          <w:szCs w:val="21"/>
        </w:rPr>
        <w:t>3</w:t>
      </w:r>
      <w:r>
        <w:rPr>
          <w:rFonts w:ascii="宋体" w:eastAsia="宋体" w:hAnsi="宋体" w:cs="Times New Roman" w:hint="eastAsia"/>
          <w:szCs w:val="21"/>
        </w:rPr>
        <w:t>级）、帮扶与沟通、建档、追踪、效果评价、再次启动。也有学者提出“两类三色”</w:t>
      </w:r>
      <w:r>
        <w:rPr>
          <w:rFonts w:ascii="宋体" w:eastAsia="宋体" w:hAnsi="宋体" w:cs="Times New Roman"/>
          <w:szCs w:val="21"/>
          <w:vertAlign w:val="superscript"/>
        </w:rPr>
        <w:footnoteReference w:id="8"/>
      </w:r>
      <w:r>
        <w:rPr>
          <w:rFonts w:ascii="宋体" w:eastAsia="宋体" w:hAnsi="宋体" w:cs="Times New Roman" w:hint="eastAsia"/>
          <w:szCs w:val="21"/>
        </w:rPr>
        <w:t>预警制度，即成绩与考勤预警，黄、橙、红三色。对这一制度的等级划分较窄，创新点在于建构了一个学业预警信息管理平台的功能</w:t>
      </w:r>
      <w:r>
        <w:rPr>
          <w:rFonts w:ascii="宋体" w:eastAsia="宋体" w:hAnsi="宋体" w:cs="Times New Roman" w:hint="eastAsia"/>
          <w:szCs w:val="21"/>
        </w:rPr>
        <w:lastRenderedPageBreak/>
        <w:t>模型。</w:t>
      </w:r>
    </w:p>
    <w:p w:rsidR="00721A26" w:rsidRDefault="00721A26" w:rsidP="00721A26">
      <w:pPr>
        <w:spacing w:line="288" w:lineRule="auto"/>
        <w:ind w:firstLineChars="200" w:firstLine="420"/>
        <w:jc w:val="left"/>
        <w:rPr>
          <w:rFonts w:ascii="宋体" w:eastAsia="宋体" w:hAnsi="宋体" w:cs="Times New Roman"/>
          <w:szCs w:val="21"/>
        </w:rPr>
      </w:pPr>
      <w:r>
        <w:rPr>
          <w:rFonts w:ascii="宋体" w:eastAsia="宋体" w:hAnsi="宋体" w:cs="Times New Roman" w:hint="eastAsia"/>
          <w:szCs w:val="21"/>
        </w:rPr>
        <w:t>从参与角色来看，学校学业预警参与角色有三个，即学校层面，家长以及预警学生。学校层面角色主要是辅导员、班主任、教师、学院学生工作相关负责人等。如下图</w:t>
      </w:r>
      <w:r>
        <w:rPr>
          <w:rFonts w:ascii="宋体" w:eastAsia="宋体" w:hAnsi="宋体" w:cs="Times New Roman"/>
          <w:szCs w:val="21"/>
        </w:rPr>
        <w:t>1.2</w:t>
      </w:r>
      <w:r>
        <w:rPr>
          <w:rFonts w:ascii="宋体" w:eastAsia="宋体" w:hAnsi="宋体" w:cs="Times New Roman" w:hint="eastAsia"/>
          <w:szCs w:val="21"/>
        </w:rPr>
        <w:t>，主线是根据学生在学校内的学业表现，期末预警建档并下发或邮寄预警通知书，家长回执后，于下一学期开始实施预警学生的帮扶计划。学业预警是一个长期循环的过程，建档、回执仅是其中的一环，问题解决还得依靠预警帮扶工作和跟踪评价。</w:t>
      </w:r>
    </w:p>
    <w:p w:rsidR="00721A26" w:rsidRDefault="00721A26" w:rsidP="00721A26">
      <w:pPr>
        <w:spacing w:line="288" w:lineRule="auto"/>
        <w:ind w:firstLineChars="200" w:firstLine="420"/>
        <w:jc w:val="left"/>
        <w:rPr>
          <w:rFonts w:ascii="宋体" w:eastAsia="宋体" w:hAnsi="宋体" w:cs="Times New Roman"/>
          <w:szCs w:val="21"/>
        </w:rPr>
      </w:pPr>
    </w:p>
    <w:p w:rsidR="00721A26" w:rsidRDefault="00721A26" w:rsidP="00721A26">
      <w:pPr>
        <w:spacing w:line="288" w:lineRule="auto"/>
        <w:ind w:firstLineChars="1100" w:firstLine="2310"/>
        <w:rPr>
          <w:rFonts w:ascii="宋体" w:eastAsia="宋体" w:hAnsi="宋体" w:cs="Times New Roman"/>
          <w:szCs w:val="21"/>
        </w:rPr>
      </w:pPr>
      <w:r>
        <w:rPr>
          <w:rFonts w:ascii="宋体" w:eastAsia="宋体" w:hAnsi="宋体" w:cs="Times New Roman"/>
          <w:noProof/>
          <w:szCs w:val="21"/>
        </w:rPr>
        <w:drawing>
          <wp:anchor distT="0" distB="0" distL="114300" distR="114300" simplePos="0" relativeHeight="251659264" behindDoc="0" locked="0" layoutInCell="1" allowOverlap="1" wp14:anchorId="51308577" wp14:editId="4D7D0769">
            <wp:simplePos x="0" y="0"/>
            <wp:positionH relativeFrom="column">
              <wp:posOffset>571500</wp:posOffset>
            </wp:positionH>
            <wp:positionV relativeFrom="paragraph">
              <wp:posOffset>-85725</wp:posOffset>
            </wp:positionV>
            <wp:extent cx="3779520" cy="2503805"/>
            <wp:effectExtent l="0" t="0" r="11430" b="10795"/>
            <wp:wrapTopAndBottom/>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779520" cy="2503805"/>
                    </a:xfrm>
                    <a:prstGeom prst="rect">
                      <a:avLst/>
                    </a:prstGeom>
                    <a:noFill/>
                    <a:ln>
                      <a:noFill/>
                    </a:ln>
                  </pic:spPr>
                </pic:pic>
              </a:graphicData>
            </a:graphic>
          </wp:anchor>
        </w:drawing>
      </w:r>
      <w:bookmarkStart w:id="4" w:name="_Toc450228843"/>
      <w:bookmarkStart w:id="5" w:name="_Toc448822903"/>
      <w:r>
        <w:rPr>
          <w:rFonts w:ascii="宋体" w:eastAsia="宋体" w:hAnsi="宋体" w:cs="Times New Roman" w:hint="eastAsia"/>
          <w:szCs w:val="21"/>
        </w:rPr>
        <w:t>图</w:t>
      </w:r>
      <w:r>
        <w:rPr>
          <w:rFonts w:ascii="宋体" w:eastAsia="宋体" w:hAnsi="宋体" w:cs="Times New Roman"/>
          <w:szCs w:val="21"/>
        </w:rPr>
        <w:t>1.</w:t>
      </w:r>
      <w:r>
        <w:rPr>
          <w:rFonts w:ascii="宋体" w:eastAsia="宋体" w:hAnsi="宋体" w:cs="Times New Roman"/>
          <w:szCs w:val="21"/>
        </w:rPr>
        <w:fldChar w:fldCharType="begin"/>
      </w:r>
      <w:r>
        <w:rPr>
          <w:rFonts w:ascii="宋体" w:eastAsia="宋体" w:hAnsi="宋体" w:cs="Times New Roman"/>
          <w:szCs w:val="21"/>
        </w:rPr>
        <w:instrText xml:space="preserve"> SEQ </w:instrText>
      </w:r>
      <w:r>
        <w:rPr>
          <w:rFonts w:ascii="宋体" w:eastAsia="宋体" w:hAnsi="宋体" w:cs="Times New Roman" w:hint="eastAsia"/>
          <w:szCs w:val="21"/>
        </w:rPr>
        <w:instrText>图</w:instrText>
      </w:r>
      <w:r>
        <w:rPr>
          <w:rFonts w:ascii="宋体" w:eastAsia="宋体" w:hAnsi="宋体" w:cs="Times New Roman"/>
          <w:szCs w:val="21"/>
        </w:rPr>
        <w:instrText xml:space="preserve">5. \* ARABIC </w:instrText>
      </w:r>
      <w:r>
        <w:rPr>
          <w:rFonts w:ascii="宋体" w:eastAsia="宋体" w:hAnsi="宋体" w:cs="Times New Roman"/>
          <w:szCs w:val="21"/>
        </w:rPr>
        <w:fldChar w:fldCharType="separate"/>
      </w:r>
      <w:r>
        <w:rPr>
          <w:rFonts w:ascii="宋体" w:eastAsia="宋体" w:hAnsi="宋体" w:cs="Times New Roman"/>
          <w:szCs w:val="21"/>
        </w:rPr>
        <w:t>2</w:t>
      </w:r>
      <w:r>
        <w:rPr>
          <w:rFonts w:ascii="宋体" w:eastAsia="宋体" w:hAnsi="宋体" w:cs="Times New Roman"/>
          <w:szCs w:val="21"/>
        </w:rPr>
        <w:fldChar w:fldCharType="end"/>
      </w:r>
      <w:r>
        <w:rPr>
          <w:rFonts w:ascii="宋体" w:eastAsia="宋体" w:hAnsi="宋体" w:cs="Times New Roman" w:hint="eastAsia"/>
          <w:szCs w:val="21"/>
        </w:rPr>
        <w:t>：学业预警流程图</w:t>
      </w:r>
      <w:r>
        <w:rPr>
          <w:rFonts w:ascii="宋体" w:eastAsia="宋体" w:hAnsi="宋体" w:cs="Times New Roman"/>
          <w:szCs w:val="21"/>
        </w:rPr>
        <w:t>2</w:t>
      </w:r>
      <w:r>
        <w:rPr>
          <w:rFonts w:ascii="宋体" w:eastAsia="宋体" w:hAnsi="宋体" w:cs="Times New Roman"/>
          <w:b/>
          <w:szCs w:val="21"/>
          <w:vertAlign w:val="superscript"/>
        </w:rPr>
        <w:footnoteReference w:id="9"/>
      </w:r>
      <w:r>
        <w:rPr>
          <w:rFonts w:ascii="宋体" w:eastAsia="宋体" w:hAnsi="宋体" w:cs="Times New Roman" w:hint="eastAsia"/>
          <w:szCs w:val="21"/>
        </w:rPr>
        <w:t>（有删改）</w:t>
      </w:r>
      <w:bookmarkEnd w:id="4"/>
      <w:bookmarkEnd w:id="5"/>
    </w:p>
    <w:p w:rsidR="00721A26" w:rsidRDefault="00721A26" w:rsidP="00721A26">
      <w:pPr>
        <w:spacing w:line="288" w:lineRule="auto"/>
        <w:ind w:firstLineChars="200" w:firstLine="420"/>
        <w:jc w:val="left"/>
        <w:rPr>
          <w:rFonts w:ascii="宋体" w:eastAsia="宋体" w:hAnsi="宋体" w:cs="Times New Roman"/>
          <w:szCs w:val="21"/>
        </w:rPr>
      </w:pPr>
    </w:p>
    <w:p w:rsidR="00721A26" w:rsidRDefault="00721A26" w:rsidP="00721A26">
      <w:pPr>
        <w:spacing w:line="288" w:lineRule="auto"/>
        <w:ind w:firstLineChars="200" w:firstLine="422"/>
        <w:jc w:val="left"/>
        <w:rPr>
          <w:rFonts w:ascii="宋体" w:eastAsia="宋体" w:hAnsi="宋体" w:cs="Times New Roman"/>
          <w:b/>
          <w:szCs w:val="21"/>
        </w:rPr>
      </w:pPr>
      <w:r>
        <w:rPr>
          <w:rFonts w:ascii="宋体" w:eastAsia="宋体" w:hAnsi="宋体" w:cs="Times New Roman"/>
          <w:b/>
          <w:szCs w:val="21"/>
        </w:rPr>
        <w:t>2</w:t>
      </w:r>
      <w:r>
        <w:rPr>
          <w:rFonts w:ascii="宋体" w:eastAsia="宋体" w:hAnsi="宋体" w:cs="Times New Roman" w:hint="eastAsia"/>
          <w:b/>
          <w:szCs w:val="21"/>
        </w:rPr>
        <w:t>.预警维度的研究</w:t>
      </w:r>
    </w:p>
    <w:p w:rsidR="00721A26" w:rsidRDefault="00721A26" w:rsidP="00721A26">
      <w:pPr>
        <w:spacing w:line="288" w:lineRule="auto"/>
        <w:ind w:firstLineChars="200" w:firstLine="420"/>
        <w:jc w:val="left"/>
        <w:rPr>
          <w:rFonts w:ascii="宋体" w:eastAsia="宋体" w:hAnsi="宋体" w:cs="Times New Roman"/>
          <w:szCs w:val="21"/>
        </w:rPr>
      </w:pPr>
      <w:r>
        <w:rPr>
          <w:rFonts w:ascii="宋体" w:eastAsia="宋体" w:hAnsi="宋体" w:cs="Times New Roman" w:hint="eastAsia"/>
          <w:szCs w:val="21"/>
        </w:rPr>
        <w:t>比较稳定的学业预警机制包含两个维度，即期末考试成绩预警和学分预警。部分研究提及到考勤预警、毕业预警、课程、学籍异动预警、处分预警</w:t>
      </w:r>
      <w:r>
        <w:rPr>
          <w:rFonts w:ascii="宋体" w:eastAsia="宋体" w:hAnsi="宋体" w:cs="Times New Roman"/>
          <w:szCs w:val="21"/>
          <w:vertAlign w:val="superscript"/>
        </w:rPr>
        <w:footnoteReference w:id="10"/>
      </w:r>
      <w:r>
        <w:rPr>
          <w:rFonts w:ascii="宋体" w:eastAsia="宋体" w:hAnsi="宋体" w:cs="Times New Roman" w:hint="eastAsia"/>
          <w:szCs w:val="21"/>
        </w:rPr>
        <w:t>等类别。有学者细化了学业预警内容，从时间节点维度，采用期末、期初、期中预警，模式；从修读课程类型维度，采用专业课、选修课、转专业学生、重修学生预警；从预警的关联性内容维度，采用课堂考勤、选课、实验教学、毕业预警</w:t>
      </w:r>
      <w:r>
        <w:rPr>
          <w:rFonts w:ascii="宋体" w:eastAsia="宋体" w:hAnsi="宋体" w:cs="Times New Roman"/>
          <w:szCs w:val="21"/>
          <w:vertAlign w:val="superscript"/>
        </w:rPr>
        <w:footnoteReference w:id="11"/>
      </w:r>
      <w:r>
        <w:rPr>
          <w:rFonts w:ascii="宋体" w:eastAsia="宋体" w:hAnsi="宋体" w:cs="Times New Roman" w:hint="eastAsia"/>
          <w:szCs w:val="21"/>
        </w:rPr>
        <w:t>。也有学者提出，学前警示预警、日常学习预警、就业预警</w:t>
      </w:r>
      <w:r>
        <w:rPr>
          <w:rFonts w:ascii="宋体" w:eastAsia="宋体" w:hAnsi="宋体" w:cs="Times New Roman"/>
          <w:szCs w:val="21"/>
          <w:vertAlign w:val="superscript"/>
        </w:rPr>
        <w:footnoteReference w:id="12"/>
      </w:r>
      <w:r>
        <w:rPr>
          <w:rFonts w:ascii="宋体" w:eastAsia="宋体" w:hAnsi="宋体" w:cs="Times New Roman" w:hint="eastAsia"/>
          <w:szCs w:val="21"/>
        </w:rPr>
        <w:t>、违纪情况、家庭情况</w:t>
      </w:r>
      <w:r>
        <w:rPr>
          <w:rFonts w:ascii="宋体" w:eastAsia="宋体" w:hAnsi="宋体" w:cs="Times New Roman"/>
          <w:szCs w:val="21"/>
          <w:vertAlign w:val="superscript"/>
        </w:rPr>
        <w:footnoteReference w:id="13"/>
      </w:r>
      <w:r>
        <w:rPr>
          <w:rFonts w:ascii="宋体" w:eastAsia="宋体" w:hAnsi="宋体" w:cs="Times New Roman" w:hint="eastAsia"/>
          <w:szCs w:val="21"/>
        </w:rPr>
        <w:t>等。</w:t>
      </w:r>
    </w:p>
    <w:p w:rsidR="00721A26" w:rsidRDefault="00721A26" w:rsidP="00721A26">
      <w:pPr>
        <w:spacing w:line="288" w:lineRule="auto"/>
        <w:ind w:firstLineChars="200" w:firstLine="422"/>
        <w:jc w:val="left"/>
        <w:rPr>
          <w:rFonts w:ascii="宋体" w:eastAsia="宋体" w:hAnsi="宋体" w:cs="Times New Roman"/>
          <w:b/>
          <w:szCs w:val="21"/>
        </w:rPr>
      </w:pPr>
      <w:r>
        <w:rPr>
          <w:rFonts w:ascii="宋体" w:eastAsia="宋体" w:hAnsi="宋体" w:cs="Times New Roman"/>
          <w:b/>
          <w:szCs w:val="21"/>
        </w:rPr>
        <w:t>3</w:t>
      </w:r>
      <w:r>
        <w:rPr>
          <w:rFonts w:ascii="宋体" w:eastAsia="宋体" w:hAnsi="宋体" w:cs="Times New Roman" w:hint="eastAsia"/>
          <w:b/>
          <w:szCs w:val="21"/>
        </w:rPr>
        <w:t>.预警级别及测量指标的研究</w:t>
      </w:r>
    </w:p>
    <w:p w:rsidR="00721A26" w:rsidRDefault="00721A26" w:rsidP="00721A26">
      <w:pPr>
        <w:spacing w:line="288" w:lineRule="auto"/>
        <w:ind w:firstLineChars="200" w:firstLine="420"/>
        <w:jc w:val="left"/>
        <w:rPr>
          <w:rFonts w:ascii="宋体" w:eastAsia="宋体" w:hAnsi="宋体" w:cs="Times New Roman"/>
          <w:szCs w:val="21"/>
        </w:rPr>
      </w:pPr>
      <w:r>
        <w:rPr>
          <w:rFonts w:ascii="宋体" w:eastAsia="宋体" w:hAnsi="宋体" w:cs="Times New Roman" w:hint="eastAsia"/>
          <w:szCs w:val="21"/>
        </w:rPr>
        <w:t>国内较</w:t>
      </w:r>
      <w:r>
        <w:rPr>
          <w:rFonts w:ascii="宋体" w:eastAsia="宋体" w:hAnsi="宋体" w:cs="Times New Roman"/>
          <w:szCs w:val="21"/>
        </w:rPr>
        <w:t>早</w:t>
      </w:r>
      <w:r>
        <w:rPr>
          <w:rFonts w:ascii="宋体" w:eastAsia="宋体" w:hAnsi="宋体" w:cs="Times New Roman" w:hint="eastAsia"/>
          <w:szCs w:val="21"/>
        </w:rPr>
        <w:t>推出</w:t>
      </w:r>
      <w:r>
        <w:rPr>
          <w:rFonts w:ascii="宋体" w:eastAsia="宋体" w:hAnsi="宋体" w:cs="Times New Roman"/>
          <w:szCs w:val="21"/>
        </w:rPr>
        <w:t>“</w:t>
      </w:r>
      <w:r>
        <w:rPr>
          <w:rFonts w:ascii="宋体" w:eastAsia="宋体" w:hAnsi="宋体" w:cs="Times New Roman" w:hint="eastAsia"/>
          <w:szCs w:val="21"/>
        </w:rPr>
        <w:t>学业预警</w:t>
      </w:r>
      <w:r>
        <w:rPr>
          <w:rFonts w:ascii="宋体" w:eastAsia="宋体" w:hAnsi="宋体" w:cs="Times New Roman"/>
          <w:szCs w:val="21"/>
        </w:rPr>
        <w:t>”</w:t>
      </w:r>
      <w:r>
        <w:rPr>
          <w:rFonts w:ascii="宋体" w:eastAsia="宋体" w:hAnsi="宋体" w:cs="Times New Roman" w:hint="eastAsia"/>
          <w:szCs w:val="21"/>
        </w:rPr>
        <w:t>机制</w:t>
      </w:r>
      <w:r>
        <w:rPr>
          <w:rFonts w:ascii="宋体" w:eastAsia="宋体" w:hAnsi="宋体" w:cs="Times New Roman"/>
          <w:szCs w:val="21"/>
        </w:rPr>
        <w:t>的是上海水产大学，</w:t>
      </w:r>
      <w:r>
        <w:rPr>
          <w:rFonts w:ascii="宋体" w:eastAsia="宋体" w:hAnsi="宋体" w:cs="Times New Roman" w:hint="eastAsia"/>
          <w:szCs w:val="21"/>
        </w:rPr>
        <w:t>对</w:t>
      </w:r>
      <w:r>
        <w:rPr>
          <w:rFonts w:ascii="宋体" w:eastAsia="宋体" w:hAnsi="宋体" w:cs="Times New Roman"/>
          <w:szCs w:val="21"/>
        </w:rPr>
        <w:t>学生成绩、旷课等情况</w:t>
      </w:r>
      <w:r>
        <w:rPr>
          <w:rFonts w:ascii="宋体" w:eastAsia="宋体" w:hAnsi="宋体" w:cs="Times New Roman" w:hint="eastAsia"/>
          <w:szCs w:val="21"/>
        </w:rPr>
        <w:t>进行</w:t>
      </w:r>
      <w:r>
        <w:rPr>
          <w:rFonts w:ascii="宋体" w:eastAsia="宋体" w:hAnsi="宋体" w:cs="Times New Roman"/>
          <w:szCs w:val="21"/>
        </w:rPr>
        <w:t>预警，</w:t>
      </w:r>
      <w:r>
        <w:rPr>
          <w:rFonts w:ascii="宋体" w:eastAsia="宋体" w:hAnsi="宋体" w:cs="Times New Roman" w:hint="eastAsia"/>
          <w:szCs w:val="21"/>
        </w:rPr>
        <w:t>分</w:t>
      </w:r>
      <w:r>
        <w:rPr>
          <w:rFonts w:ascii="宋体" w:eastAsia="宋体" w:hAnsi="宋体" w:cs="Times New Roman" w:hint="eastAsia"/>
          <w:szCs w:val="21"/>
        </w:rPr>
        <w:lastRenderedPageBreak/>
        <w:t>为</w:t>
      </w:r>
      <w:r>
        <w:rPr>
          <w:rFonts w:ascii="宋体" w:eastAsia="宋体" w:hAnsi="宋体" w:cs="Times New Roman"/>
          <w:szCs w:val="21"/>
        </w:rPr>
        <w:t>一般</w:t>
      </w:r>
      <w:r>
        <w:rPr>
          <w:rFonts w:ascii="宋体" w:eastAsia="宋体" w:hAnsi="宋体" w:cs="Times New Roman" w:hint="eastAsia"/>
          <w:szCs w:val="21"/>
        </w:rPr>
        <w:t>预告、</w:t>
      </w:r>
      <w:r>
        <w:rPr>
          <w:rFonts w:ascii="宋体" w:eastAsia="宋体" w:hAnsi="宋体" w:cs="Times New Roman"/>
          <w:szCs w:val="21"/>
        </w:rPr>
        <w:t>淘汰预告、退学预告三个级别</w:t>
      </w:r>
      <w:r>
        <w:rPr>
          <w:rFonts w:ascii="宋体" w:eastAsia="宋体" w:hAnsi="宋体" w:cs="Times New Roman"/>
          <w:szCs w:val="21"/>
          <w:vertAlign w:val="superscript"/>
        </w:rPr>
        <w:footnoteReference w:id="14"/>
      </w:r>
      <w:r>
        <w:rPr>
          <w:rFonts w:ascii="宋体" w:eastAsia="宋体" w:hAnsi="宋体" w:cs="Times New Roman" w:hint="eastAsia"/>
          <w:szCs w:val="21"/>
        </w:rPr>
        <w:t>。当前</w:t>
      </w:r>
      <w:r>
        <w:rPr>
          <w:rFonts w:ascii="宋体" w:eastAsia="宋体" w:hAnsi="宋体" w:cs="Times New Roman"/>
          <w:szCs w:val="21"/>
        </w:rPr>
        <w:t>，比较稳定分级标准是以红、橙、黄、蓝四色标识</w:t>
      </w:r>
      <w:r>
        <w:rPr>
          <w:rFonts w:ascii="宋体" w:eastAsia="宋体" w:hAnsi="宋体" w:cs="Times New Roman" w:hint="eastAsia"/>
          <w:szCs w:val="21"/>
        </w:rPr>
        <w:t>等级</w:t>
      </w:r>
      <w:r>
        <w:rPr>
          <w:rFonts w:ascii="宋体" w:eastAsia="宋体" w:hAnsi="宋体" w:cs="Times New Roman"/>
          <w:szCs w:val="21"/>
        </w:rPr>
        <w:t>，内容也有所丰富。</w:t>
      </w:r>
      <w:r>
        <w:rPr>
          <w:rFonts w:ascii="宋体" w:eastAsia="宋体" w:hAnsi="宋体" w:cs="Times New Roman" w:hint="eastAsia"/>
          <w:szCs w:val="21"/>
        </w:rPr>
        <w:t>虽然预警的维度比较多，但能够量化或受主观因素影响的指标还比较少，一般是课程和学分，这两者的相关性也极大。从预警的等级来看，业内一般将预警级别定为</w:t>
      </w:r>
      <w:r>
        <w:rPr>
          <w:rFonts w:ascii="宋体" w:eastAsia="宋体" w:hAnsi="宋体" w:cs="Times New Roman"/>
          <w:szCs w:val="21"/>
        </w:rPr>
        <w:t>4</w:t>
      </w:r>
      <w:r>
        <w:rPr>
          <w:rFonts w:ascii="宋体" w:eastAsia="宋体" w:hAnsi="宋体" w:cs="Times New Roman" w:hint="eastAsia"/>
          <w:szCs w:val="21"/>
        </w:rPr>
        <w:t>级即蓝色、黄色、橙色和红色预警，预警级别依次上升。鉴于量化标准的可行性，高校普遍采用，成绩、学分、考勤、上一学期补考、处分、学籍异动等作为各预警级别实际界定量。</w:t>
      </w:r>
    </w:p>
    <w:p w:rsidR="00721A26" w:rsidRDefault="00721A26" w:rsidP="00721A26">
      <w:pPr>
        <w:spacing w:line="288" w:lineRule="auto"/>
        <w:ind w:firstLineChars="200" w:firstLine="420"/>
        <w:jc w:val="left"/>
        <w:rPr>
          <w:rFonts w:ascii="宋体" w:eastAsia="宋体" w:hAnsi="宋体" w:cs="Times New Roman"/>
          <w:szCs w:val="21"/>
        </w:rPr>
      </w:pPr>
      <w:r>
        <w:rPr>
          <w:rFonts w:ascii="宋体" w:eastAsia="宋体" w:hAnsi="宋体" w:cs="Times New Roman" w:hint="eastAsia"/>
          <w:szCs w:val="21"/>
        </w:rPr>
        <w:t>其中，蓝色预警，以</w:t>
      </w:r>
      <w:r>
        <w:rPr>
          <w:rFonts w:ascii="宋体" w:eastAsia="宋体" w:hAnsi="宋体" w:cs="Times New Roman"/>
          <w:szCs w:val="21"/>
        </w:rPr>
        <w:t>1-3</w:t>
      </w:r>
      <w:r>
        <w:rPr>
          <w:rFonts w:ascii="宋体" w:eastAsia="宋体" w:hAnsi="宋体" w:cs="Times New Roman" w:hint="eastAsia"/>
          <w:szCs w:val="21"/>
        </w:rPr>
        <w:t>门课程不及格、学分低于专业的</w:t>
      </w:r>
      <w:r>
        <w:rPr>
          <w:rFonts w:ascii="宋体" w:eastAsia="宋体" w:hAnsi="宋体" w:cs="Times New Roman"/>
          <w:szCs w:val="21"/>
        </w:rPr>
        <w:t>90%</w:t>
      </w:r>
      <w:r>
        <w:rPr>
          <w:rFonts w:ascii="宋体" w:eastAsia="宋体" w:hAnsi="宋体" w:cs="Times New Roman" w:hint="eastAsia"/>
          <w:szCs w:val="21"/>
        </w:rPr>
        <w:t>以上，旷课</w:t>
      </w:r>
      <w:r>
        <w:rPr>
          <w:rFonts w:ascii="宋体" w:eastAsia="宋体" w:hAnsi="宋体" w:cs="Times New Roman"/>
          <w:szCs w:val="21"/>
        </w:rPr>
        <w:t>10</w:t>
      </w:r>
      <w:r>
        <w:rPr>
          <w:rFonts w:ascii="宋体" w:eastAsia="宋体" w:hAnsi="宋体" w:cs="Times New Roman" w:hint="eastAsia"/>
          <w:szCs w:val="21"/>
        </w:rPr>
        <w:t>课时左右，上学期补考</w:t>
      </w:r>
      <w:r>
        <w:rPr>
          <w:rFonts w:ascii="宋体" w:eastAsia="宋体" w:hAnsi="宋体" w:cs="Times New Roman"/>
          <w:szCs w:val="21"/>
        </w:rPr>
        <w:t>2</w:t>
      </w:r>
      <w:r>
        <w:rPr>
          <w:rFonts w:ascii="宋体" w:eastAsia="宋体" w:hAnsi="宋体" w:cs="Times New Roman" w:hint="eastAsia"/>
          <w:szCs w:val="21"/>
        </w:rPr>
        <w:t>门不及格，受学院内处分等情况；黄色预警以</w:t>
      </w:r>
      <w:r>
        <w:rPr>
          <w:rFonts w:ascii="宋体" w:eastAsia="宋体" w:hAnsi="宋体" w:cs="Times New Roman"/>
          <w:szCs w:val="21"/>
        </w:rPr>
        <w:t>4-5</w:t>
      </w:r>
      <w:r>
        <w:rPr>
          <w:rFonts w:ascii="宋体" w:eastAsia="宋体" w:hAnsi="宋体" w:cs="Times New Roman" w:hint="eastAsia"/>
          <w:szCs w:val="21"/>
        </w:rPr>
        <w:t>门课程不及格、学分低于专业的</w:t>
      </w:r>
      <w:r>
        <w:rPr>
          <w:rFonts w:ascii="宋体" w:eastAsia="宋体" w:hAnsi="宋体" w:cs="Times New Roman"/>
          <w:szCs w:val="21"/>
        </w:rPr>
        <w:t>80%-90%</w:t>
      </w:r>
      <w:r>
        <w:rPr>
          <w:rFonts w:ascii="宋体" w:eastAsia="宋体" w:hAnsi="宋体" w:cs="Times New Roman" w:hint="eastAsia"/>
          <w:szCs w:val="21"/>
        </w:rPr>
        <w:t>，旷课</w:t>
      </w:r>
      <w:r>
        <w:rPr>
          <w:rFonts w:ascii="宋体" w:eastAsia="宋体" w:hAnsi="宋体" w:cs="Times New Roman"/>
          <w:szCs w:val="21"/>
        </w:rPr>
        <w:t>20</w:t>
      </w:r>
      <w:r>
        <w:rPr>
          <w:rFonts w:ascii="宋体" w:eastAsia="宋体" w:hAnsi="宋体" w:cs="Times New Roman" w:hint="eastAsia"/>
          <w:szCs w:val="21"/>
        </w:rPr>
        <w:t>课时左右，上学期补考</w:t>
      </w:r>
      <w:r>
        <w:rPr>
          <w:rFonts w:ascii="宋体" w:eastAsia="宋体" w:hAnsi="宋体" w:cs="Times New Roman"/>
          <w:szCs w:val="21"/>
        </w:rPr>
        <w:t>3</w:t>
      </w:r>
      <w:r>
        <w:rPr>
          <w:rFonts w:ascii="宋体" w:eastAsia="宋体" w:hAnsi="宋体" w:cs="Times New Roman" w:hint="eastAsia"/>
          <w:szCs w:val="21"/>
        </w:rPr>
        <w:t>门不及格，受学校警告或严重警告处分等情况；橙色预警以</w:t>
      </w:r>
      <w:r>
        <w:rPr>
          <w:rFonts w:ascii="宋体" w:eastAsia="宋体" w:hAnsi="宋体" w:cs="Times New Roman"/>
          <w:szCs w:val="21"/>
        </w:rPr>
        <w:t>6-7</w:t>
      </w:r>
      <w:r>
        <w:rPr>
          <w:rFonts w:ascii="宋体" w:eastAsia="宋体" w:hAnsi="宋体" w:cs="Times New Roman" w:hint="eastAsia"/>
          <w:szCs w:val="21"/>
        </w:rPr>
        <w:t>门课程不及格、学分低于专业的</w:t>
      </w:r>
      <w:r>
        <w:rPr>
          <w:rFonts w:ascii="宋体" w:eastAsia="宋体" w:hAnsi="宋体" w:cs="Times New Roman"/>
          <w:szCs w:val="21"/>
        </w:rPr>
        <w:t>70%-80%</w:t>
      </w:r>
      <w:r>
        <w:rPr>
          <w:rFonts w:ascii="宋体" w:eastAsia="宋体" w:hAnsi="宋体" w:cs="Times New Roman" w:hint="eastAsia"/>
          <w:szCs w:val="21"/>
        </w:rPr>
        <w:t>，旷课</w:t>
      </w:r>
      <w:r>
        <w:rPr>
          <w:rFonts w:ascii="宋体" w:eastAsia="宋体" w:hAnsi="宋体" w:cs="Times New Roman"/>
          <w:szCs w:val="21"/>
        </w:rPr>
        <w:t>30</w:t>
      </w:r>
      <w:r>
        <w:rPr>
          <w:rFonts w:ascii="宋体" w:eastAsia="宋体" w:hAnsi="宋体" w:cs="Times New Roman" w:hint="eastAsia"/>
          <w:szCs w:val="21"/>
        </w:rPr>
        <w:t>课时左右，上学期补考</w:t>
      </w:r>
      <w:r>
        <w:rPr>
          <w:rFonts w:ascii="宋体" w:eastAsia="宋体" w:hAnsi="宋体" w:cs="Times New Roman"/>
          <w:szCs w:val="21"/>
        </w:rPr>
        <w:t>4</w:t>
      </w:r>
      <w:r>
        <w:rPr>
          <w:rFonts w:ascii="宋体" w:eastAsia="宋体" w:hAnsi="宋体" w:cs="Times New Roman" w:hint="eastAsia"/>
          <w:szCs w:val="21"/>
        </w:rPr>
        <w:t>门不及格，受学校记过处分等情况；红色预警以</w:t>
      </w:r>
      <w:r>
        <w:rPr>
          <w:rFonts w:ascii="宋体" w:eastAsia="宋体" w:hAnsi="宋体" w:cs="Times New Roman"/>
          <w:szCs w:val="21"/>
        </w:rPr>
        <w:t>8-10</w:t>
      </w:r>
      <w:r>
        <w:rPr>
          <w:rFonts w:ascii="宋体" w:eastAsia="宋体" w:hAnsi="宋体" w:cs="Times New Roman" w:hint="eastAsia"/>
          <w:szCs w:val="21"/>
        </w:rPr>
        <w:t>门课程不及格、学分低于专业的</w:t>
      </w:r>
      <w:r>
        <w:rPr>
          <w:rFonts w:ascii="宋体" w:eastAsia="宋体" w:hAnsi="宋体" w:cs="Times New Roman"/>
          <w:szCs w:val="21"/>
        </w:rPr>
        <w:t>70%</w:t>
      </w:r>
      <w:r>
        <w:rPr>
          <w:rFonts w:ascii="宋体" w:eastAsia="宋体" w:hAnsi="宋体" w:cs="Times New Roman" w:hint="eastAsia"/>
          <w:szCs w:val="21"/>
        </w:rPr>
        <w:t>，上学期补考</w:t>
      </w:r>
      <w:r>
        <w:rPr>
          <w:rFonts w:ascii="宋体" w:eastAsia="宋体" w:hAnsi="宋体" w:cs="Times New Roman"/>
          <w:szCs w:val="21"/>
        </w:rPr>
        <w:t>5</w:t>
      </w:r>
      <w:r>
        <w:rPr>
          <w:rFonts w:ascii="宋体" w:eastAsia="宋体" w:hAnsi="宋体" w:cs="Times New Roman" w:hint="eastAsia"/>
          <w:szCs w:val="21"/>
        </w:rPr>
        <w:t>门不及格，旷课</w:t>
      </w:r>
      <w:r>
        <w:rPr>
          <w:rFonts w:ascii="宋体" w:eastAsia="宋体" w:hAnsi="宋体" w:cs="Times New Roman"/>
          <w:szCs w:val="21"/>
        </w:rPr>
        <w:t>40-60</w:t>
      </w:r>
      <w:r>
        <w:rPr>
          <w:rFonts w:ascii="宋体" w:eastAsia="宋体" w:hAnsi="宋体" w:cs="Times New Roman" w:hint="eastAsia"/>
          <w:szCs w:val="21"/>
        </w:rPr>
        <w:t>课时左右，受学校留校察</w:t>
      </w:r>
      <w:r>
        <w:rPr>
          <w:rFonts w:ascii="宋体" w:eastAsia="宋体" w:hAnsi="宋体" w:cs="Times New Roman"/>
          <w:szCs w:val="21"/>
          <w:vertAlign w:val="superscript"/>
        </w:rPr>
        <w:footnoteReference w:id="15"/>
      </w:r>
      <w:r>
        <w:rPr>
          <w:rFonts w:ascii="宋体" w:eastAsia="宋体" w:hAnsi="宋体" w:cs="Times New Roman"/>
          <w:szCs w:val="21"/>
          <w:vertAlign w:val="superscript"/>
        </w:rPr>
        <w:footnoteReference w:id="16"/>
      </w:r>
      <w:r>
        <w:rPr>
          <w:rFonts w:ascii="宋体" w:eastAsia="宋体" w:hAnsi="宋体" w:cs="Times New Roman" w:hint="eastAsia"/>
          <w:szCs w:val="21"/>
        </w:rPr>
        <w:t>看等情况。有部分学者研究提出，重修不及格课程重修情况、毕业论文未达要求、能力考试未通</w:t>
      </w:r>
      <w:r>
        <w:rPr>
          <w:rFonts w:ascii="宋体" w:eastAsia="宋体" w:hAnsi="宋体" w:cs="Times New Roman"/>
          <w:szCs w:val="21"/>
          <w:vertAlign w:val="superscript"/>
        </w:rPr>
        <w:footnoteReference w:id="17"/>
      </w:r>
      <w:r>
        <w:rPr>
          <w:rFonts w:ascii="宋体" w:eastAsia="宋体" w:hAnsi="宋体" w:cs="Times New Roman" w:hint="eastAsia"/>
          <w:szCs w:val="21"/>
        </w:rPr>
        <w:t>过也在学业预警量化范围之内等。近年，有学者提出建立红、橙、黄、绿、蓝五色分级预警援助机制</w:t>
      </w:r>
      <w:r>
        <w:rPr>
          <w:rFonts w:ascii="宋体" w:eastAsia="宋体" w:hAnsi="宋体" w:cs="Times New Roman"/>
          <w:szCs w:val="21"/>
          <w:vertAlign w:val="superscript"/>
        </w:rPr>
        <w:footnoteReference w:id="18"/>
      </w:r>
      <w:r>
        <w:rPr>
          <w:rFonts w:ascii="宋体" w:eastAsia="宋体" w:hAnsi="宋体" w:cs="Times New Roman" w:hint="eastAsia"/>
          <w:szCs w:val="21"/>
        </w:rPr>
        <w:t>，学业预警不能仅限于“学困生”。蓝色预警针对成绩较好，表现突出，为预防“光环效应”的消极影响，绿色预警针对“灰色学生”，防止向“学困生”转化，黄色预警针对临近留级的“学困生”，橙色预警针对达到留级条件的学生，红色预警针对临近退学的学生。值得一提的是，此划分模式，欠缺一环，属于“学困生”而未达到临近留级的那部分学生未能囊括在内。</w:t>
      </w:r>
    </w:p>
    <w:p w:rsidR="00721A26" w:rsidRDefault="00721A26" w:rsidP="00721A26">
      <w:pPr>
        <w:spacing w:line="288" w:lineRule="auto"/>
        <w:ind w:firstLineChars="200" w:firstLine="422"/>
        <w:jc w:val="left"/>
        <w:rPr>
          <w:rFonts w:ascii="宋体" w:eastAsia="宋体" w:hAnsi="宋体" w:cs="Times New Roman"/>
          <w:b/>
          <w:szCs w:val="21"/>
        </w:rPr>
      </w:pPr>
      <w:r>
        <w:rPr>
          <w:rFonts w:ascii="宋体" w:eastAsia="宋体" w:hAnsi="宋体" w:cs="Times New Roman"/>
          <w:b/>
          <w:szCs w:val="21"/>
        </w:rPr>
        <w:t>4</w:t>
      </w:r>
      <w:r>
        <w:rPr>
          <w:rFonts w:ascii="宋体" w:eastAsia="宋体" w:hAnsi="宋体" w:cs="Times New Roman" w:hint="eastAsia"/>
          <w:b/>
          <w:szCs w:val="21"/>
        </w:rPr>
        <w:t>.学业预警的保障体系的研究</w:t>
      </w:r>
    </w:p>
    <w:p w:rsidR="00721A26" w:rsidRDefault="00721A26" w:rsidP="00721A26">
      <w:pPr>
        <w:spacing w:line="288" w:lineRule="auto"/>
        <w:ind w:firstLineChars="200" w:firstLine="420"/>
        <w:jc w:val="center"/>
        <w:rPr>
          <w:rFonts w:ascii="宋体" w:eastAsia="宋体" w:hAnsi="宋体" w:cs="Times New Roman"/>
          <w:szCs w:val="21"/>
        </w:rPr>
      </w:pPr>
      <w:r>
        <w:rPr>
          <w:rFonts w:ascii="宋体" w:eastAsia="宋体" w:hAnsi="宋体" w:cs="Times New Roman"/>
          <w:noProof/>
          <w:szCs w:val="21"/>
        </w:rPr>
        <w:drawing>
          <wp:anchor distT="0" distB="0" distL="114300" distR="114300" simplePos="0" relativeHeight="251664384" behindDoc="0" locked="0" layoutInCell="1" allowOverlap="1" wp14:anchorId="50923789" wp14:editId="14696E4B">
            <wp:simplePos x="0" y="0"/>
            <wp:positionH relativeFrom="column">
              <wp:posOffset>257175</wp:posOffset>
            </wp:positionH>
            <wp:positionV relativeFrom="paragraph">
              <wp:posOffset>130175</wp:posOffset>
            </wp:positionV>
            <wp:extent cx="4471035" cy="1784350"/>
            <wp:effectExtent l="0" t="0" r="5715" b="6350"/>
            <wp:wrapTopAndBottom/>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471035" cy="1784350"/>
                    </a:xfrm>
                    <a:prstGeom prst="rect">
                      <a:avLst/>
                    </a:prstGeom>
                    <a:noFill/>
                    <a:ln>
                      <a:noFill/>
                    </a:ln>
                  </pic:spPr>
                </pic:pic>
              </a:graphicData>
            </a:graphic>
          </wp:anchor>
        </w:drawing>
      </w:r>
      <w:bookmarkStart w:id="6" w:name="_Toc450228844"/>
      <w:bookmarkStart w:id="7" w:name="_Toc448822904"/>
      <w:r>
        <w:rPr>
          <w:rFonts w:ascii="宋体" w:eastAsia="宋体" w:hAnsi="宋体" w:cs="Times New Roman" w:hint="eastAsia"/>
          <w:szCs w:val="21"/>
        </w:rPr>
        <w:t>图</w:t>
      </w:r>
      <w:r>
        <w:rPr>
          <w:rFonts w:ascii="宋体" w:eastAsia="宋体" w:hAnsi="宋体" w:cs="Times New Roman"/>
          <w:szCs w:val="21"/>
        </w:rPr>
        <w:t>1.</w:t>
      </w:r>
      <w:r>
        <w:rPr>
          <w:rFonts w:ascii="宋体" w:eastAsia="宋体" w:hAnsi="宋体" w:cs="Times New Roman"/>
          <w:szCs w:val="21"/>
        </w:rPr>
        <w:fldChar w:fldCharType="begin"/>
      </w:r>
      <w:r>
        <w:rPr>
          <w:rFonts w:ascii="宋体" w:eastAsia="宋体" w:hAnsi="宋体" w:cs="Times New Roman"/>
          <w:szCs w:val="21"/>
        </w:rPr>
        <w:instrText xml:space="preserve"> SEQ </w:instrText>
      </w:r>
      <w:r>
        <w:rPr>
          <w:rFonts w:ascii="宋体" w:eastAsia="宋体" w:hAnsi="宋体" w:cs="Times New Roman" w:hint="eastAsia"/>
          <w:szCs w:val="21"/>
        </w:rPr>
        <w:instrText>图</w:instrText>
      </w:r>
      <w:r>
        <w:rPr>
          <w:rFonts w:ascii="宋体" w:eastAsia="宋体" w:hAnsi="宋体" w:cs="Times New Roman"/>
          <w:szCs w:val="21"/>
        </w:rPr>
        <w:instrText xml:space="preserve">5. \* ARABIC </w:instrText>
      </w:r>
      <w:r>
        <w:rPr>
          <w:rFonts w:ascii="宋体" w:eastAsia="宋体" w:hAnsi="宋体" w:cs="Times New Roman"/>
          <w:szCs w:val="21"/>
        </w:rPr>
        <w:fldChar w:fldCharType="separate"/>
      </w:r>
      <w:r>
        <w:rPr>
          <w:rFonts w:ascii="宋体" w:eastAsia="宋体" w:hAnsi="宋体" w:cs="Times New Roman"/>
          <w:szCs w:val="21"/>
        </w:rPr>
        <w:t>3</w:t>
      </w:r>
      <w:r>
        <w:rPr>
          <w:rFonts w:ascii="宋体" w:eastAsia="宋体" w:hAnsi="宋体" w:cs="Times New Roman"/>
          <w:szCs w:val="21"/>
        </w:rPr>
        <w:fldChar w:fldCharType="end"/>
      </w:r>
      <w:r>
        <w:rPr>
          <w:rFonts w:ascii="宋体" w:eastAsia="宋体" w:hAnsi="宋体" w:cs="Times New Roman" w:hint="eastAsia"/>
          <w:szCs w:val="21"/>
        </w:rPr>
        <w:t>：学业预警的保障体系</w:t>
      </w:r>
      <w:r>
        <w:rPr>
          <w:rFonts w:ascii="宋体" w:eastAsia="宋体" w:hAnsi="宋体" w:cs="Times New Roman"/>
          <w:szCs w:val="21"/>
          <w:vertAlign w:val="superscript"/>
        </w:rPr>
        <w:footnoteReference w:id="19"/>
      </w:r>
      <w:bookmarkEnd w:id="6"/>
      <w:bookmarkEnd w:id="7"/>
    </w:p>
    <w:p w:rsidR="00721A26" w:rsidRDefault="00721A26" w:rsidP="00721A26">
      <w:pPr>
        <w:spacing w:line="288" w:lineRule="auto"/>
        <w:ind w:firstLineChars="200" w:firstLine="420"/>
        <w:jc w:val="left"/>
        <w:rPr>
          <w:rFonts w:ascii="宋体" w:eastAsia="宋体" w:hAnsi="宋体" w:cs="Times New Roman"/>
          <w:szCs w:val="21"/>
        </w:rPr>
      </w:pPr>
      <w:r>
        <w:rPr>
          <w:rFonts w:ascii="宋体" w:eastAsia="宋体" w:hAnsi="宋体" w:cs="Times New Roman" w:hint="eastAsia"/>
          <w:szCs w:val="21"/>
        </w:rPr>
        <w:t>研究指出，学业预警的保障体系应该包括监督预警、指导帮辅和支撑保障三个方面。监督预</w:t>
      </w:r>
      <w:r>
        <w:rPr>
          <w:rFonts w:ascii="宋体" w:eastAsia="宋体" w:hAnsi="宋体" w:cs="Times New Roman" w:hint="eastAsia"/>
          <w:szCs w:val="21"/>
        </w:rPr>
        <w:lastRenderedPageBreak/>
        <w:t>警体系和指导帮辅体系是学业预警的过程和内容。一般意义的学业预警保障体系就是支撑保障体系，包含三个内容，即制度保障，组织保障和条件保障。学业预警制度保障，即具有严格的科学规范程序，能够形成一套成熟的做法和办法，包括告知、谈话、交接、跟踪、记录等内容。学业预警的组织保障，即能够发挥学业预警机制实施主体的主导和监督作用的个人和组织，包括辅导员、班主任、教师、学生骨干、家长等具体角色，以及校院团委、学生会、班委、社团等起到促进学业提升的群体。学业预警的条件保障，即为配合学业预警机制有效实施的各类软硬件条件，包括各类帮辅主题活动，支持管理、学习等网络平台，办公场所以及配套的设备和资金等各类资源。</w:t>
      </w:r>
    </w:p>
    <w:p w:rsidR="00721A26" w:rsidRDefault="00721A26" w:rsidP="00721A26">
      <w:pPr>
        <w:spacing w:line="288" w:lineRule="auto"/>
        <w:ind w:firstLineChars="200" w:firstLine="422"/>
        <w:rPr>
          <w:rFonts w:ascii="宋体" w:eastAsia="宋体" w:hAnsi="宋体" w:cs="Times New Roman"/>
          <w:b/>
          <w:szCs w:val="21"/>
        </w:rPr>
      </w:pPr>
      <w:r>
        <w:rPr>
          <w:rFonts w:ascii="宋体" w:eastAsia="宋体" w:hAnsi="宋体" w:cs="Times New Roman" w:hint="eastAsia"/>
          <w:b/>
          <w:szCs w:val="21"/>
        </w:rPr>
        <w:t>二、大学生学业预警系统建设内容</w:t>
      </w:r>
    </w:p>
    <w:p w:rsidR="00721A26" w:rsidRDefault="00721A26" w:rsidP="00721A26">
      <w:pPr>
        <w:spacing w:line="288" w:lineRule="auto"/>
        <w:ind w:firstLine="420"/>
        <w:rPr>
          <w:rFonts w:ascii="宋体" w:eastAsia="宋体" w:hAnsi="宋体" w:cs="Times New Roman"/>
          <w:b/>
          <w:szCs w:val="21"/>
        </w:rPr>
      </w:pPr>
      <w:r>
        <w:rPr>
          <w:rFonts w:ascii="宋体" w:eastAsia="宋体" w:hAnsi="宋体" w:cs="Times New Roman" w:hint="eastAsia"/>
          <w:b/>
          <w:szCs w:val="21"/>
        </w:rPr>
        <w:t>（一）学业预警两级管理体系.</w:t>
      </w:r>
      <w:r>
        <w:rPr>
          <w:rFonts w:ascii="宋体" w:eastAsia="宋体" w:hAnsi="宋体" w:cs="Times New Roman" w:hint="eastAsia"/>
          <w:szCs w:val="21"/>
        </w:rPr>
        <w:t>学校</w:t>
      </w:r>
      <w:r>
        <w:rPr>
          <w:rFonts w:ascii="宋体" w:eastAsia="宋体" w:hAnsi="宋体" w:cs="Times New Roman"/>
          <w:szCs w:val="21"/>
        </w:rPr>
        <w:t>成立学业发展中心，</w:t>
      </w:r>
      <w:r>
        <w:rPr>
          <w:rFonts w:ascii="宋体" w:eastAsia="宋体" w:hAnsi="宋体" w:cs="Times New Roman" w:hint="eastAsia"/>
          <w:szCs w:val="21"/>
        </w:rPr>
        <w:t>实行两级</w:t>
      </w:r>
      <w:r>
        <w:rPr>
          <w:rFonts w:ascii="宋体" w:eastAsia="宋体" w:hAnsi="宋体" w:cs="Times New Roman"/>
          <w:szCs w:val="21"/>
        </w:rPr>
        <w:t>管理制度</w:t>
      </w:r>
      <w:r>
        <w:rPr>
          <w:rFonts w:ascii="宋体" w:eastAsia="宋体" w:hAnsi="宋体" w:cs="Times New Roman" w:hint="eastAsia"/>
          <w:szCs w:val="21"/>
        </w:rPr>
        <w:t>，</w:t>
      </w:r>
      <w:r>
        <w:rPr>
          <w:rFonts w:ascii="宋体" w:eastAsia="宋体" w:hAnsi="宋体" w:cs="Times New Roman"/>
          <w:szCs w:val="21"/>
        </w:rPr>
        <w:t>分别出台</w:t>
      </w:r>
      <w:r>
        <w:rPr>
          <w:rFonts w:ascii="宋体" w:eastAsia="宋体" w:hAnsi="宋体" w:cs="Times New Roman" w:hint="eastAsia"/>
          <w:szCs w:val="21"/>
        </w:rPr>
        <w:t>《中南民族大学学生学业发展中心实施办法（试行）》</w:t>
      </w:r>
      <w:r>
        <w:rPr>
          <w:rFonts w:ascii="宋体" w:eastAsia="宋体" w:hAnsi="宋体" w:cs="Times New Roman"/>
          <w:szCs w:val="21"/>
        </w:rPr>
        <w:t>和</w:t>
      </w:r>
      <w:r>
        <w:rPr>
          <w:rFonts w:ascii="宋体" w:eastAsia="宋体" w:hAnsi="宋体" w:cs="Times New Roman" w:hint="eastAsia"/>
          <w:szCs w:val="21"/>
        </w:rPr>
        <w:t>《中南民族大学学生学业发展分中心实施办法（试行）》，</w:t>
      </w:r>
      <w:r>
        <w:rPr>
          <w:rFonts w:ascii="宋体" w:eastAsia="宋体" w:hAnsi="宋体" w:cs="Times New Roman"/>
          <w:szCs w:val="21"/>
        </w:rPr>
        <w:t>规范校院两级工作内容</w:t>
      </w:r>
      <w:r>
        <w:rPr>
          <w:rFonts w:ascii="宋体" w:eastAsia="宋体" w:hAnsi="宋体" w:cs="Times New Roman" w:hint="eastAsia"/>
          <w:szCs w:val="21"/>
        </w:rPr>
        <w:t>，工作责任</w:t>
      </w:r>
      <w:r>
        <w:rPr>
          <w:rFonts w:ascii="宋体" w:eastAsia="宋体" w:hAnsi="宋体" w:cs="Times New Roman"/>
          <w:szCs w:val="21"/>
        </w:rPr>
        <w:t>之一就是</w:t>
      </w:r>
      <w:r>
        <w:rPr>
          <w:rFonts w:ascii="宋体" w:eastAsia="宋体" w:hAnsi="宋体" w:cs="Times New Roman" w:hint="eastAsia"/>
          <w:szCs w:val="21"/>
        </w:rPr>
        <w:t>帮助学业困难学生克服困难，顺利完成本科学业。学业发展指导委员会统筹</w:t>
      </w:r>
      <w:r>
        <w:rPr>
          <w:rFonts w:ascii="宋体" w:eastAsia="宋体" w:hAnsi="宋体" w:cs="Times New Roman"/>
          <w:szCs w:val="21"/>
        </w:rPr>
        <w:t>工作，</w:t>
      </w:r>
      <w:r>
        <w:rPr>
          <w:rFonts w:ascii="宋体" w:eastAsia="宋体" w:hAnsi="宋体" w:cs="Times New Roman" w:hint="eastAsia"/>
          <w:szCs w:val="21"/>
        </w:rPr>
        <w:t>学校学生</w:t>
      </w:r>
      <w:r>
        <w:rPr>
          <w:rFonts w:ascii="宋体" w:eastAsia="宋体" w:hAnsi="宋体" w:cs="Times New Roman"/>
          <w:szCs w:val="21"/>
        </w:rPr>
        <w:t>学业发展中心</w:t>
      </w:r>
      <w:r>
        <w:rPr>
          <w:rFonts w:ascii="宋体" w:eastAsia="宋体" w:hAnsi="宋体" w:cs="Times New Roman" w:hint="eastAsia"/>
          <w:szCs w:val="21"/>
        </w:rPr>
        <w:t>具体中心建设与日常管理，学院</w:t>
      </w:r>
      <w:r>
        <w:rPr>
          <w:rFonts w:ascii="宋体" w:eastAsia="宋体" w:hAnsi="宋体" w:cs="Times New Roman"/>
          <w:szCs w:val="21"/>
        </w:rPr>
        <w:t>学业发展</w:t>
      </w:r>
      <w:r>
        <w:rPr>
          <w:rFonts w:ascii="宋体" w:eastAsia="宋体" w:hAnsi="宋体" w:cs="Times New Roman" w:hint="eastAsia"/>
          <w:szCs w:val="21"/>
        </w:rPr>
        <w:t>分</w:t>
      </w:r>
      <w:r>
        <w:rPr>
          <w:rFonts w:ascii="宋体" w:eastAsia="宋体" w:hAnsi="宋体" w:cs="Times New Roman"/>
          <w:szCs w:val="21"/>
        </w:rPr>
        <w:t>中心</w:t>
      </w:r>
      <w:r>
        <w:rPr>
          <w:rFonts w:ascii="宋体" w:eastAsia="宋体" w:hAnsi="宋体" w:cs="Times New Roman" w:hint="eastAsia"/>
          <w:szCs w:val="21"/>
        </w:rPr>
        <w:t>负责本学院学生学业发展工作的具体实施，落实学情调查、学业预警与跟踪帮扶等工作</w:t>
      </w:r>
      <w:r>
        <w:rPr>
          <w:rFonts w:ascii="宋体" w:eastAsia="宋体" w:hAnsi="宋体" w:cs="Times New Roman"/>
          <w:szCs w:val="21"/>
        </w:rPr>
        <w:t>，学生助理、导生团队负责协助</w:t>
      </w:r>
      <w:r>
        <w:rPr>
          <w:rFonts w:ascii="宋体" w:eastAsia="宋体" w:hAnsi="宋体" w:cs="Times New Roman" w:hint="eastAsia"/>
          <w:szCs w:val="21"/>
        </w:rPr>
        <w:t>。</w:t>
      </w:r>
    </w:p>
    <w:p w:rsidR="00721A26" w:rsidRDefault="00721A26" w:rsidP="00721A26">
      <w:pPr>
        <w:spacing w:line="288" w:lineRule="auto"/>
        <w:ind w:firstLine="420"/>
        <w:rPr>
          <w:rFonts w:ascii="宋体" w:eastAsia="宋体" w:hAnsi="宋体" w:cs="Times New Roman"/>
          <w:b/>
          <w:szCs w:val="21"/>
        </w:rPr>
      </w:pPr>
      <w:r>
        <w:rPr>
          <w:rFonts w:ascii="宋体" w:eastAsia="宋体" w:hAnsi="宋体" w:cs="Times New Roman" w:hint="eastAsia"/>
          <w:b/>
          <w:szCs w:val="21"/>
        </w:rPr>
        <w:t>（二）学业预警</w:t>
      </w:r>
      <w:r>
        <w:rPr>
          <w:rFonts w:ascii="宋体" w:eastAsia="宋体" w:hAnsi="宋体" w:cs="Times New Roman"/>
          <w:b/>
          <w:szCs w:val="21"/>
        </w:rPr>
        <w:t>的指标体系</w:t>
      </w:r>
      <w:r>
        <w:rPr>
          <w:rFonts w:ascii="宋体" w:eastAsia="宋体" w:hAnsi="宋体" w:cs="Times New Roman" w:hint="eastAsia"/>
          <w:b/>
          <w:szCs w:val="21"/>
        </w:rPr>
        <w:t>。</w:t>
      </w:r>
      <w:r>
        <w:rPr>
          <w:rFonts w:ascii="宋体" w:eastAsia="宋体" w:hAnsi="宋体" w:cs="Times New Roman" w:hint="eastAsia"/>
          <w:szCs w:val="21"/>
        </w:rPr>
        <w:t>学校设定四级预警：蓝色预警、黄色预警、橙色预警和红色预警。</w:t>
      </w:r>
    </w:p>
    <w:p w:rsidR="00721A26" w:rsidRDefault="00721A26" w:rsidP="00721A26">
      <w:pPr>
        <w:spacing w:line="288" w:lineRule="auto"/>
        <w:ind w:firstLine="420"/>
        <w:rPr>
          <w:rFonts w:ascii="宋体" w:eastAsia="宋体" w:hAnsi="宋体" w:cs="Times New Roman"/>
          <w:szCs w:val="21"/>
        </w:rPr>
      </w:pPr>
      <w:r>
        <w:rPr>
          <w:rFonts w:ascii="宋体" w:eastAsia="宋体" w:hAnsi="宋体" w:cs="Times New Roman"/>
          <w:b/>
          <w:szCs w:val="21"/>
        </w:rPr>
        <w:t>1.蓝色预警</w:t>
      </w:r>
      <w:r>
        <w:rPr>
          <w:rFonts w:ascii="宋体" w:eastAsia="宋体" w:hAnsi="宋体" w:cs="Times New Roman" w:hint="eastAsia"/>
          <w:b/>
          <w:szCs w:val="21"/>
        </w:rPr>
        <w:t>。</w:t>
      </w:r>
      <w:r>
        <w:rPr>
          <w:rFonts w:ascii="宋体" w:eastAsia="宋体" w:hAnsi="宋体" w:cs="Times New Roman"/>
          <w:szCs w:val="21"/>
        </w:rPr>
        <w:t>主要适用于课程预警对象：高考总分数偏低；学校及专业非第一志愿、特殊生源计划学生、生源地教育基础欠发达、边疆民族与小少民族学生等；数学、英语、计算机、大学物理等分级教学中D班学生。</w:t>
      </w:r>
    </w:p>
    <w:p w:rsidR="00721A26" w:rsidRDefault="00721A26" w:rsidP="00721A26">
      <w:pPr>
        <w:spacing w:line="288" w:lineRule="auto"/>
        <w:ind w:firstLine="420"/>
        <w:rPr>
          <w:rFonts w:ascii="宋体" w:eastAsia="宋体" w:hAnsi="宋体" w:cs="Times New Roman"/>
          <w:szCs w:val="21"/>
        </w:rPr>
      </w:pPr>
      <w:r>
        <w:rPr>
          <w:rFonts w:ascii="宋体" w:eastAsia="宋体" w:hAnsi="宋体" w:cs="Times New Roman"/>
          <w:b/>
          <w:szCs w:val="21"/>
        </w:rPr>
        <w:t>2.黄色预警</w:t>
      </w:r>
      <w:r>
        <w:rPr>
          <w:rFonts w:ascii="宋体" w:eastAsia="宋体" w:hAnsi="宋体" w:cs="Times New Roman" w:hint="eastAsia"/>
          <w:b/>
          <w:szCs w:val="21"/>
        </w:rPr>
        <w:t>。</w:t>
      </w:r>
      <w:r>
        <w:rPr>
          <w:rFonts w:ascii="宋体" w:eastAsia="宋体" w:hAnsi="宋体" w:cs="Times New Roman"/>
          <w:szCs w:val="21"/>
        </w:rPr>
        <w:t>主要适用于受到警告、严重警告处分以及学籍异动的学生。</w:t>
      </w:r>
    </w:p>
    <w:p w:rsidR="00721A26" w:rsidRDefault="00721A26" w:rsidP="00721A26">
      <w:pPr>
        <w:spacing w:line="288" w:lineRule="auto"/>
        <w:ind w:firstLine="420"/>
        <w:rPr>
          <w:rFonts w:ascii="宋体" w:eastAsia="宋体" w:hAnsi="宋体" w:cs="Times New Roman"/>
          <w:szCs w:val="21"/>
        </w:rPr>
      </w:pPr>
      <w:r>
        <w:rPr>
          <w:rFonts w:ascii="宋体" w:eastAsia="宋体" w:hAnsi="宋体" w:cs="Times New Roman"/>
          <w:b/>
          <w:szCs w:val="21"/>
        </w:rPr>
        <w:t>3.橙色预警</w:t>
      </w:r>
      <w:r>
        <w:rPr>
          <w:rFonts w:ascii="宋体" w:eastAsia="宋体" w:hAnsi="宋体" w:cs="Times New Roman" w:hint="eastAsia"/>
          <w:b/>
          <w:szCs w:val="21"/>
        </w:rPr>
        <w:t>。</w:t>
      </w:r>
      <w:r>
        <w:rPr>
          <w:rFonts w:ascii="宋体" w:eastAsia="宋体" w:hAnsi="宋体" w:cs="Times New Roman"/>
          <w:szCs w:val="21"/>
        </w:rPr>
        <w:t>主要适用于学业预警的一般预警；</w:t>
      </w:r>
    </w:p>
    <w:p w:rsidR="00721A26" w:rsidRDefault="00721A26" w:rsidP="00721A26">
      <w:pPr>
        <w:spacing w:line="288" w:lineRule="auto"/>
        <w:ind w:firstLine="420"/>
        <w:rPr>
          <w:rFonts w:ascii="宋体" w:eastAsia="宋体" w:hAnsi="宋体" w:cs="Times New Roman"/>
          <w:szCs w:val="21"/>
        </w:rPr>
      </w:pPr>
      <w:r>
        <w:rPr>
          <w:rFonts w:ascii="宋体" w:eastAsia="宋体" w:hAnsi="宋体" w:cs="Times New Roman" w:hint="eastAsia"/>
          <w:szCs w:val="21"/>
        </w:rPr>
        <w:t>（</w:t>
      </w:r>
      <w:r>
        <w:rPr>
          <w:rFonts w:ascii="宋体" w:eastAsia="宋体" w:hAnsi="宋体" w:cs="Times New Roman"/>
          <w:szCs w:val="21"/>
        </w:rPr>
        <w:t>1）未达相关学分要求（学院可根据培养方案自行调整）第一学期获得学分少于15学分；</w:t>
      </w:r>
    </w:p>
    <w:p w:rsidR="00721A26" w:rsidRDefault="00721A26" w:rsidP="00721A26">
      <w:pPr>
        <w:spacing w:line="288" w:lineRule="auto"/>
        <w:ind w:firstLine="420"/>
        <w:rPr>
          <w:rFonts w:ascii="宋体" w:eastAsia="宋体" w:hAnsi="宋体" w:cs="Times New Roman"/>
          <w:szCs w:val="21"/>
        </w:rPr>
      </w:pPr>
      <w:r>
        <w:rPr>
          <w:rFonts w:ascii="宋体" w:eastAsia="宋体" w:hAnsi="宋体" w:cs="Times New Roman" w:hint="eastAsia"/>
          <w:szCs w:val="21"/>
        </w:rPr>
        <w:t>前二学期获得学分少于</w:t>
      </w:r>
      <w:r>
        <w:rPr>
          <w:rFonts w:ascii="宋体" w:eastAsia="宋体" w:hAnsi="宋体" w:cs="Times New Roman"/>
          <w:szCs w:val="21"/>
        </w:rPr>
        <w:t>35学分；</w:t>
      </w:r>
    </w:p>
    <w:p w:rsidR="00721A26" w:rsidRDefault="00721A26" w:rsidP="00721A26">
      <w:pPr>
        <w:spacing w:line="288" w:lineRule="auto"/>
        <w:ind w:firstLine="420"/>
        <w:rPr>
          <w:rFonts w:ascii="宋体" w:eastAsia="宋体" w:hAnsi="宋体" w:cs="Times New Roman"/>
          <w:szCs w:val="21"/>
        </w:rPr>
      </w:pPr>
      <w:r>
        <w:rPr>
          <w:rFonts w:ascii="宋体" w:eastAsia="宋体" w:hAnsi="宋体" w:cs="Times New Roman" w:hint="eastAsia"/>
          <w:szCs w:val="21"/>
        </w:rPr>
        <w:t>前三学期获得学分少于</w:t>
      </w:r>
      <w:r>
        <w:rPr>
          <w:rFonts w:ascii="宋体" w:eastAsia="宋体" w:hAnsi="宋体" w:cs="Times New Roman"/>
          <w:szCs w:val="21"/>
        </w:rPr>
        <w:t>55学分；</w:t>
      </w:r>
    </w:p>
    <w:p w:rsidR="00721A26" w:rsidRDefault="00721A26" w:rsidP="00721A26">
      <w:pPr>
        <w:spacing w:line="288" w:lineRule="auto"/>
        <w:ind w:firstLine="420"/>
        <w:rPr>
          <w:rFonts w:ascii="宋体" w:eastAsia="宋体" w:hAnsi="宋体" w:cs="Times New Roman"/>
          <w:szCs w:val="21"/>
        </w:rPr>
      </w:pPr>
      <w:r>
        <w:rPr>
          <w:rFonts w:ascii="宋体" w:eastAsia="宋体" w:hAnsi="宋体" w:cs="Times New Roman" w:hint="eastAsia"/>
          <w:szCs w:val="21"/>
        </w:rPr>
        <w:t>前四学期获得学分少于</w:t>
      </w:r>
      <w:r>
        <w:rPr>
          <w:rFonts w:ascii="宋体" w:eastAsia="宋体" w:hAnsi="宋体" w:cs="Times New Roman"/>
          <w:szCs w:val="21"/>
        </w:rPr>
        <w:t>75学分；</w:t>
      </w:r>
    </w:p>
    <w:p w:rsidR="00721A26" w:rsidRDefault="00721A26" w:rsidP="00721A26">
      <w:pPr>
        <w:spacing w:line="288" w:lineRule="auto"/>
        <w:ind w:firstLine="420"/>
        <w:rPr>
          <w:rFonts w:ascii="宋体" w:eastAsia="宋体" w:hAnsi="宋体" w:cs="Times New Roman"/>
          <w:szCs w:val="21"/>
        </w:rPr>
      </w:pPr>
      <w:r>
        <w:rPr>
          <w:rFonts w:ascii="宋体" w:eastAsia="宋体" w:hAnsi="宋体" w:cs="Times New Roman" w:hint="eastAsia"/>
          <w:szCs w:val="21"/>
        </w:rPr>
        <w:t>前五学期获得学分少于</w:t>
      </w:r>
      <w:r>
        <w:rPr>
          <w:rFonts w:ascii="宋体" w:eastAsia="宋体" w:hAnsi="宋体" w:cs="Times New Roman"/>
          <w:szCs w:val="21"/>
        </w:rPr>
        <w:t>95学分；</w:t>
      </w:r>
    </w:p>
    <w:p w:rsidR="00721A26" w:rsidRDefault="00721A26" w:rsidP="00721A26">
      <w:pPr>
        <w:spacing w:line="288" w:lineRule="auto"/>
        <w:ind w:firstLine="420"/>
        <w:rPr>
          <w:rFonts w:ascii="宋体" w:eastAsia="宋体" w:hAnsi="宋体" w:cs="Times New Roman"/>
          <w:szCs w:val="21"/>
        </w:rPr>
      </w:pPr>
      <w:r>
        <w:rPr>
          <w:rFonts w:ascii="宋体" w:eastAsia="宋体" w:hAnsi="宋体" w:cs="Times New Roman" w:hint="eastAsia"/>
          <w:szCs w:val="21"/>
        </w:rPr>
        <w:t>前六学期获得学分少于</w:t>
      </w:r>
      <w:r>
        <w:rPr>
          <w:rFonts w:ascii="宋体" w:eastAsia="宋体" w:hAnsi="宋体" w:cs="Times New Roman"/>
          <w:szCs w:val="21"/>
        </w:rPr>
        <w:t>115学分；</w:t>
      </w:r>
    </w:p>
    <w:p w:rsidR="00721A26" w:rsidRDefault="00721A26" w:rsidP="00721A26">
      <w:pPr>
        <w:spacing w:line="288" w:lineRule="auto"/>
        <w:ind w:firstLine="420"/>
        <w:rPr>
          <w:rFonts w:ascii="宋体" w:eastAsia="宋体" w:hAnsi="宋体" w:cs="Times New Roman"/>
          <w:szCs w:val="21"/>
        </w:rPr>
      </w:pPr>
      <w:r>
        <w:rPr>
          <w:rFonts w:ascii="宋体" w:eastAsia="宋体" w:hAnsi="宋体" w:cs="Times New Roman" w:hint="eastAsia"/>
          <w:szCs w:val="21"/>
        </w:rPr>
        <w:t>前七学期获得学分少于</w:t>
      </w:r>
      <w:r>
        <w:rPr>
          <w:rFonts w:ascii="宋体" w:eastAsia="宋体" w:hAnsi="宋体" w:cs="Times New Roman"/>
          <w:szCs w:val="21"/>
        </w:rPr>
        <w:t>135学分；</w:t>
      </w:r>
    </w:p>
    <w:p w:rsidR="00721A26" w:rsidRDefault="00721A26" w:rsidP="00721A26">
      <w:pPr>
        <w:spacing w:line="288" w:lineRule="auto"/>
        <w:ind w:firstLine="420"/>
        <w:rPr>
          <w:rFonts w:ascii="宋体" w:eastAsia="宋体" w:hAnsi="宋体" w:cs="Times New Roman"/>
          <w:szCs w:val="21"/>
        </w:rPr>
      </w:pPr>
      <w:r>
        <w:rPr>
          <w:rFonts w:ascii="宋体" w:eastAsia="宋体" w:hAnsi="宋体" w:cs="Times New Roman" w:hint="eastAsia"/>
          <w:szCs w:val="21"/>
        </w:rPr>
        <w:t>（</w:t>
      </w:r>
      <w:r>
        <w:rPr>
          <w:rFonts w:ascii="宋体" w:eastAsia="宋体" w:hAnsi="宋体" w:cs="Times New Roman"/>
          <w:szCs w:val="21"/>
        </w:rPr>
        <w:t>2）学习年限超过4年的；</w:t>
      </w:r>
    </w:p>
    <w:p w:rsidR="00721A26" w:rsidRDefault="00721A26" w:rsidP="00721A26">
      <w:pPr>
        <w:spacing w:line="288" w:lineRule="auto"/>
        <w:ind w:firstLine="420"/>
        <w:rPr>
          <w:rFonts w:ascii="宋体" w:eastAsia="宋体" w:hAnsi="宋体" w:cs="Times New Roman"/>
          <w:szCs w:val="21"/>
        </w:rPr>
      </w:pPr>
      <w:r>
        <w:rPr>
          <w:rFonts w:ascii="宋体" w:eastAsia="宋体" w:hAnsi="宋体" w:cs="Times New Roman" w:hint="eastAsia"/>
          <w:szCs w:val="21"/>
        </w:rPr>
        <w:t>（</w:t>
      </w:r>
      <w:r>
        <w:rPr>
          <w:rFonts w:ascii="宋体" w:eastAsia="宋体" w:hAnsi="宋体" w:cs="Times New Roman"/>
          <w:szCs w:val="21"/>
        </w:rPr>
        <w:t>3）未按时注册的、未按时选课的、一学期累计旷课超过15学时的、出现旷考的。</w:t>
      </w:r>
    </w:p>
    <w:p w:rsidR="00721A26" w:rsidRDefault="00721A26" w:rsidP="00721A26">
      <w:pPr>
        <w:spacing w:line="288" w:lineRule="auto"/>
        <w:ind w:firstLine="420"/>
        <w:rPr>
          <w:rFonts w:ascii="宋体" w:eastAsia="宋体" w:hAnsi="宋体" w:cs="Times New Roman"/>
          <w:szCs w:val="21"/>
        </w:rPr>
      </w:pPr>
      <w:r>
        <w:rPr>
          <w:rFonts w:ascii="宋体" w:eastAsia="宋体" w:hAnsi="宋体" w:cs="Times New Roman" w:hint="eastAsia"/>
          <w:szCs w:val="21"/>
        </w:rPr>
        <w:t>（</w:t>
      </w:r>
      <w:r>
        <w:rPr>
          <w:rFonts w:ascii="宋体" w:eastAsia="宋体" w:hAnsi="宋体" w:cs="Times New Roman"/>
          <w:szCs w:val="21"/>
        </w:rPr>
        <w:t>4）受到学校记过处分的。</w:t>
      </w:r>
    </w:p>
    <w:p w:rsidR="00721A26" w:rsidRDefault="00721A26" w:rsidP="00721A26">
      <w:pPr>
        <w:spacing w:line="288" w:lineRule="auto"/>
        <w:ind w:firstLine="420"/>
        <w:rPr>
          <w:rFonts w:ascii="宋体" w:eastAsia="宋体" w:hAnsi="宋体" w:cs="Times New Roman"/>
          <w:szCs w:val="21"/>
        </w:rPr>
      </w:pPr>
      <w:r>
        <w:rPr>
          <w:rFonts w:ascii="宋体" w:eastAsia="宋体" w:hAnsi="宋体" w:cs="Times New Roman"/>
          <w:b/>
          <w:szCs w:val="21"/>
        </w:rPr>
        <w:t>4.红色预警</w:t>
      </w:r>
      <w:r>
        <w:rPr>
          <w:rFonts w:ascii="宋体" w:eastAsia="宋体" w:hAnsi="宋体" w:cs="Times New Roman" w:hint="eastAsia"/>
          <w:b/>
          <w:szCs w:val="21"/>
        </w:rPr>
        <w:t>。</w:t>
      </w:r>
      <w:r>
        <w:rPr>
          <w:rFonts w:ascii="宋体" w:eastAsia="宋体" w:hAnsi="宋体" w:cs="Times New Roman"/>
          <w:szCs w:val="21"/>
        </w:rPr>
        <w:t>主要适用于退学预警对象，主要包括：</w:t>
      </w:r>
    </w:p>
    <w:p w:rsidR="00721A26" w:rsidRDefault="00721A26" w:rsidP="00721A26">
      <w:pPr>
        <w:spacing w:line="288" w:lineRule="auto"/>
        <w:ind w:firstLine="420"/>
        <w:rPr>
          <w:rFonts w:ascii="宋体" w:eastAsia="宋体" w:hAnsi="宋体" w:cs="Times New Roman"/>
          <w:szCs w:val="21"/>
        </w:rPr>
      </w:pPr>
      <w:r>
        <w:rPr>
          <w:rFonts w:ascii="宋体" w:eastAsia="宋体" w:hAnsi="宋体" w:cs="Times New Roman" w:hint="eastAsia"/>
          <w:szCs w:val="21"/>
        </w:rPr>
        <w:t>（</w:t>
      </w:r>
      <w:r>
        <w:rPr>
          <w:rFonts w:ascii="宋体" w:eastAsia="宋体" w:hAnsi="宋体" w:cs="Times New Roman"/>
          <w:szCs w:val="21"/>
        </w:rPr>
        <w:t>1）大一学年结束，除通识选修课外，获得学分总数少于25个学分；大二学年结束，除通</w:t>
      </w:r>
      <w:r>
        <w:rPr>
          <w:rFonts w:ascii="宋体" w:eastAsia="宋体" w:hAnsi="宋体" w:cs="Times New Roman"/>
          <w:szCs w:val="21"/>
        </w:rPr>
        <w:lastRenderedPageBreak/>
        <w:t>识选修课外，获得学分总数少于60个学分；大三学年结束，获得总学分数少于95个学分。</w:t>
      </w:r>
    </w:p>
    <w:p w:rsidR="00721A26" w:rsidRDefault="00721A26" w:rsidP="00721A26">
      <w:pPr>
        <w:spacing w:line="288" w:lineRule="auto"/>
        <w:ind w:firstLine="420"/>
        <w:rPr>
          <w:rFonts w:ascii="宋体" w:eastAsia="宋体" w:hAnsi="宋体" w:cs="Times New Roman"/>
          <w:szCs w:val="21"/>
        </w:rPr>
      </w:pPr>
      <w:r>
        <w:rPr>
          <w:rFonts w:ascii="宋体" w:eastAsia="宋体" w:hAnsi="宋体" w:cs="Times New Roman" w:hint="eastAsia"/>
          <w:szCs w:val="21"/>
        </w:rPr>
        <w:t>（</w:t>
      </w:r>
      <w:r>
        <w:rPr>
          <w:rFonts w:ascii="宋体" w:eastAsia="宋体" w:hAnsi="宋体" w:cs="Times New Roman"/>
          <w:szCs w:val="21"/>
        </w:rPr>
        <w:t>2）旷课超过规定教学课时四分之一或累计旷课超过30学时。</w:t>
      </w:r>
    </w:p>
    <w:p w:rsidR="00721A26" w:rsidRDefault="00721A26" w:rsidP="00721A26">
      <w:pPr>
        <w:spacing w:line="288" w:lineRule="auto"/>
        <w:ind w:firstLine="420"/>
        <w:rPr>
          <w:rFonts w:ascii="宋体" w:eastAsia="宋体" w:hAnsi="宋体" w:cs="Times New Roman"/>
          <w:szCs w:val="21"/>
        </w:rPr>
      </w:pPr>
      <w:r>
        <w:rPr>
          <w:rFonts w:ascii="宋体" w:eastAsia="宋体" w:hAnsi="宋体" w:cs="Times New Roman" w:hint="eastAsia"/>
          <w:szCs w:val="21"/>
        </w:rPr>
        <w:t>（</w:t>
      </w:r>
      <w:r>
        <w:rPr>
          <w:rFonts w:ascii="宋体" w:eastAsia="宋体" w:hAnsi="宋体" w:cs="Times New Roman"/>
          <w:szCs w:val="21"/>
        </w:rPr>
        <w:t>3）受到学校留校察看处分或其他面临退学情况的。</w:t>
      </w:r>
    </w:p>
    <w:p w:rsidR="00721A26" w:rsidRDefault="00721A26" w:rsidP="00721A26">
      <w:pPr>
        <w:spacing w:line="288" w:lineRule="auto"/>
        <w:ind w:firstLine="420"/>
        <w:rPr>
          <w:rFonts w:ascii="宋体" w:eastAsia="宋体" w:hAnsi="宋体" w:cs="Times New Roman"/>
          <w:b/>
          <w:szCs w:val="21"/>
        </w:rPr>
      </w:pPr>
      <w:r>
        <w:rPr>
          <w:rFonts w:ascii="宋体" w:eastAsia="宋体" w:hAnsi="宋体" w:cs="Times New Roman" w:hint="eastAsia"/>
          <w:b/>
          <w:szCs w:val="21"/>
        </w:rPr>
        <w:t>（三）学业</w:t>
      </w:r>
      <w:r>
        <w:rPr>
          <w:rFonts w:ascii="宋体" w:eastAsia="宋体" w:hAnsi="宋体" w:cs="Times New Roman"/>
          <w:b/>
          <w:szCs w:val="21"/>
        </w:rPr>
        <w:t>预警流程</w:t>
      </w:r>
      <w:r>
        <w:rPr>
          <w:rFonts w:ascii="宋体" w:eastAsia="宋体" w:hAnsi="宋体" w:cs="Times New Roman" w:hint="eastAsia"/>
          <w:b/>
          <w:szCs w:val="21"/>
        </w:rPr>
        <w:t>。</w:t>
      </w:r>
      <w:r>
        <w:rPr>
          <w:rFonts w:ascii="宋体" w:eastAsia="宋体" w:hAnsi="宋体" w:cs="Times New Roman" w:hint="eastAsia"/>
          <w:szCs w:val="21"/>
        </w:rPr>
        <w:t>被判定</w:t>
      </w:r>
      <w:r>
        <w:rPr>
          <w:rFonts w:ascii="宋体" w:eastAsia="宋体" w:hAnsi="宋体" w:cs="Times New Roman"/>
          <w:szCs w:val="21"/>
        </w:rPr>
        <w:t>蓝色预警学生，</w:t>
      </w:r>
      <w:r>
        <w:rPr>
          <w:rFonts w:ascii="宋体" w:eastAsia="宋体" w:hAnsi="宋体" w:cs="Times New Roman" w:hint="eastAsia"/>
          <w:szCs w:val="21"/>
        </w:rPr>
        <w:t>当面</w:t>
      </w:r>
      <w:r>
        <w:rPr>
          <w:rFonts w:ascii="宋体" w:eastAsia="宋体" w:hAnsi="宋体" w:cs="Times New Roman"/>
          <w:szCs w:val="21"/>
        </w:rPr>
        <w:t>通知本人，</w:t>
      </w:r>
      <w:r>
        <w:rPr>
          <w:rFonts w:ascii="宋体" w:eastAsia="宋体" w:hAnsi="宋体" w:cs="Times New Roman" w:hint="eastAsia"/>
          <w:szCs w:val="21"/>
        </w:rPr>
        <w:t>辅导员</w:t>
      </w:r>
      <w:r>
        <w:rPr>
          <w:rFonts w:ascii="宋体" w:eastAsia="宋体" w:hAnsi="宋体" w:cs="Times New Roman"/>
          <w:szCs w:val="21"/>
        </w:rPr>
        <w:t>谈心谈话，并持续跟踪。</w:t>
      </w:r>
      <w:r>
        <w:rPr>
          <w:rFonts w:ascii="宋体" w:eastAsia="宋体" w:hAnsi="宋体" w:cs="Times New Roman" w:hint="eastAsia"/>
          <w:szCs w:val="21"/>
        </w:rPr>
        <w:t>对</w:t>
      </w:r>
      <w:r>
        <w:rPr>
          <w:rFonts w:ascii="宋体" w:eastAsia="宋体" w:hAnsi="宋体" w:cs="Times New Roman"/>
          <w:szCs w:val="21"/>
        </w:rPr>
        <w:t>黄色以上预警学生采用以下步骤：</w:t>
      </w:r>
    </w:p>
    <w:p w:rsidR="00721A26" w:rsidRDefault="00721A26" w:rsidP="00721A26">
      <w:pPr>
        <w:spacing w:line="288" w:lineRule="auto"/>
        <w:ind w:firstLine="420"/>
        <w:rPr>
          <w:rFonts w:ascii="宋体" w:eastAsia="宋体" w:hAnsi="宋体" w:cs="Times New Roman"/>
          <w:szCs w:val="21"/>
        </w:rPr>
      </w:pPr>
      <w:r>
        <w:rPr>
          <w:rFonts w:ascii="宋体" w:eastAsia="宋体" w:hAnsi="宋体" w:cs="Times New Roman" w:hint="eastAsia"/>
          <w:b/>
          <w:szCs w:val="21"/>
        </w:rPr>
        <w:t>1</w:t>
      </w:r>
      <w:r>
        <w:rPr>
          <w:rFonts w:ascii="宋体" w:eastAsia="宋体" w:hAnsi="宋体" w:cs="Times New Roman"/>
          <w:b/>
          <w:szCs w:val="21"/>
        </w:rPr>
        <w:t>.明确预警对象</w:t>
      </w:r>
      <w:r>
        <w:rPr>
          <w:rFonts w:ascii="宋体" w:eastAsia="宋体" w:hAnsi="宋体" w:cs="Times New Roman" w:hint="eastAsia"/>
          <w:b/>
          <w:szCs w:val="21"/>
        </w:rPr>
        <w:t>。</w:t>
      </w:r>
      <w:r>
        <w:rPr>
          <w:rFonts w:ascii="宋体" w:eastAsia="宋体" w:hAnsi="宋体" w:cs="Times New Roman"/>
          <w:szCs w:val="21"/>
        </w:rPr>
        <w:t>每学期末，学院召开学生学业预警工作会议，核实学生的学业进展情况，明确预警对象，批准并下达《学业预警通知书》，书面通知书一式2份，一份发给预警学生，一份发给学生家长。新学期开学将预警学生名单反馈给相应班主任。</w:t>
      </w:r>
    </w:p>
    <w:p w:rsidR="00721A26" w:rsidRDefault="00721A26" w:rsidP="00721A26">
      <w:pPr>
        <w:spacing w:line="288" w:lineRule="auto"/>
        <w:ind w:firstLine="420"/>
        <w:rPr>
          <w:rFonts w:ascii="宋体" w:eastAsia="宋体" w:hAnsi="宋体" w:cs="Times New Roman"/>
          <w:szCs w:val="21"/>
        </w:rPr>
      </w:pPr>
      <w:r>
        <w:rPr>
          <w:rFonts w:ascii="宋体" w:eastAsia="宋体" w:hAnsi="宋体" w:cs="Times New Roman" w:hint="eastAsia"/>
          <w:b/>
          <w:szCs w:val="21"/>
        </w:rPr>
        <w:t>2</w:t>
      </w:r>
      <w:r>
        <w:rPr>
          <w:rFonts w:ascii="宋体" w:eastAsia="宋体" w:hAnsi="宋体" w:cs="Times New Roman"/>
          <w:b/>
          <w:szCs w:val="21"/>
        </w:rPr>
        <w:t>.建立课程预警</w:t>
      </w:r>
      <w:r>
        <w:rPr>
          <w:rFonts w:ascii="宋体" w:eastAsia="宋体" w:hAnsi="宋体" w:cs="Times New Roman" w:hint="eastAsia"/>
          <w:b/>
          <w:szCs w:val="21"/>
        </w:rPr>
        <w:t>。</w:t>
      </w:r>
      <w:r>
        <w:rPr>
          <w:rFonts w:ascii="宋体" w:eastAsia="宋体" w:hAnsi="宋体" w:cs="Times New Roman"/>
          <w:szCs w:val="21"/>
        </w:rPr>
        <w:t>学院要在开学1周内将学业预警对象汇总表</w:t>
      </w:r>
      <w:r>
        <w:rPr>
          <w:rFonts w:ascii="宋体" w:eastAsia="宋体" w:hAnsi="宋体" w:cs="Times New Roman" w:hint="eastAsia"/>
          <w:szCs w:val="21"/>
        </w:rPr>
        <w:t>提交</w:t>
      </w:r>
      <w:r>
        <w:rPr>
          <w:rFonts w:ascii="宋体" w:eastAsia="宋体" w:hAnsi="宋体" w:cs="Times New Roman"/>
          <w:szCs w:val="21"/>
        </w:rPr>
        <w:t>学生学业发展中心，并通过课程预警流程，引导课程教师跟踪督促学业预警对象。</w:t>
      </w:r>
    </w:p>
    <w:p w:rsidR="00721A26" w:rsidRDefault="00721A26" w:rsidP="00721A26">
      <w:pPr>
        <w:spacing w:line="288" w:lineRule="auto"/>
        <w:ind w:firstLine="420"/>
        <w:rPr>
          <w:rFonts w:ascii="宋体" w:eastAsia="宋体" w:hAnsi="宋体" w:cs="Times New Roman"/>
          <w:szCs w:val="21"/>
        </w:rPr>
      </w:pPr>
      <w:r>
        <w:rPr>
          <w:rFonts w:ascii="宋体" w:eastAsia="宋体" w:hAnsi="宋体" w:cs="Times New Roman" w:hint="eastAsia"/>
          <w:b/>
          <w:szCs w:val="21"/>
        </w:rPr>
        <w:t>3</w:t>
      </w:r>
      <w:r>
        <w:rPr>
          <w:rFonts w:ascii="宋体" w:eastAsia="宋体" w:hAnsi="宋体" w:cs="Times New Roman"/>
          <w:b/>
          <w:szCs w:val="21"/>
        </w:rPr>
        <w:t>.</w:t>
      </w:r>
      <w:r>
        <w:rPr>
          <w:rFonts w:ascii="宋体" w:eastAsia="宋体" w:hAnsi="宋体" w:cs="Times New Roman" w:hint="eastAsia"/>
          <w:b/>
          <w:szCs w:val="21"/>
        </w:rPr>
        <w:t>预警</w:t>
      </w:r>
      <w:r>
        <w:rPr>
          <w:rFonts w:ascii="宋体" w:eastAsia="宋体" w:hAnsi="宋体" w:cs="Times New Roman"/>
          <w:b/>
          <w:szCs w:val="21"/>
        </w:rPr>
        <w:t>响应机制</w:t>
      </w:r>
      <w:r>
        <w:rPr>
          <w:rFonts w:ascii="宋体" w:eastAsia="宋体" w:hAnsi="宋体" w:cs="Times New Roman" w:hint="eastAsia"/>
          <w:b/>
          <w:szCs w:val="21"/>
        </w:rPr>
        <w:t>。</w:t>
      </w:r>
      <w:r>
        <w:rPr>
          <w:rFonts w:ascii="宋体" w:eastAsia="宋体" w:hAnsi="宋体" w:cs="Times New Roman"/>
          <w:szCs w:val="21"/>
        </w:rPr>
        <w:t>蓝色预警，主要由课程教师予以响应，通过课堂关注、作业辅导、课程答疑、考前辅导等形式进行</w:t>
      </w:r>
      <w:r>
        <w:rPr>
          <w:rFonts w:ascii="宋体" w:eastAsia="宋体" w:hAnsi="宋体" w:cs="Times New Roman" w:hint="eastAsia"/>
          <w:szCs w:val="21"/>
        </w:rPr>
        <w:t>辅导</w:t>
      </w:r>
      <w:r>
        <w:rPr>
          <w:rFonts w:ascii="宋体" w:eastAsia="宋体" w:hAnsi="宋体" w:cs="Times New Roman"/>
          <w:szCs w:val="21"/>
        </w:rPr>
        <w:t>；黄色预警，主要通过班主任谈话、课程教师辅导等形式进行，情况较严重的，要</w:t>
      </w:r>
      <w:r>
        <w:rPr>
          <w:rFonts w:ascii="宋体" w:eastAsia="宋体" w:hAnsi="宋体" w:cs="Times New Roman" w:hint="eastAsia"/>
          <w:szCs w:val="21"/>
        </w:rPr>
        <w:t>通知</w:t>
      </w:r>
      <w:r>
        <w:rPr>
          <w:rFonts w:ascii="宋体" w:eastAsia="宋体" w:hAnsi="宋体" w:cs="Times New Roman"/>
          <w:szCs w:val="21"/>
        </w:rPr>
        <w:t>辅导员</w:t>
      </w:r>
      <w:r>
        <w:rPr>
          <w:rFonts w:ascii="宋体" w:eastAsia="宋体" w:hAnsi="宋体" w:cs="Times New Roman" w:hint="eastAsia"/>
          <w:szCs w:val="21"/>
        </w:rPr>
        <w:t>和</w:t>
      </w:r>
      <w:r>
        <w:rPr>
          <w:rFonts w:ascii="宋体" w:eastAsia="宋体" w:hAnsi="宋体" w:cs="Times New Roman"/>
          <w:szCs w:val="21"/>
        </w:rPr>
        <w:t>家长</w:t>
      </w:r>
      <w:r>
        <w:rPr>
          <w:rFonts w:ascii="宋体" w:eastAsia="宋体" w:hAnsi="宋体" w:cs="Times New Roman" w:hint="eastAsia"/>
          <w:szCs w:val="21"/>
        </w:rPr>
        <w:t>；</w:t>
      </w:r>
      <w:r>
        <w:rPr>
          <w:rFonts w:ascii="宋体" w:eastAsia="宋体" w:hAnsi="宋体" w:cs="Times New Roman"/>
          <w:szCs w:val="21"/>
        </w:rPr>
        <w:t>橙色预警，主要由辅导员协调班主任、学生家长、课程教师等协同关注，要采取必要的学业干预、行为矫正、心理咨询等多方措施</w:t>
      </w:r>
      <w:r>
        <w:rPr>
          <w:rFonts w:ascii="宋体" w:eastAsia="宋体" w:hAnsi="宋体" w:cs="Times New Roman" w:hint="eastAsia"/>
          <w:szCs w:val="21"/>
        </w:rPr>
        <w:t>；</w:t>
      </w:r>
      <w:r>
        <w:rPr>
          <w:rFonts w:ascii="宋体" w:eastAsia="宋体" w:hAnsi="宋体" w:cs="Times New Roman"/>
          <w:szCs w:val="21"/>
        </w:rPr>
        <w:t>红色预警，主要由副书记协调辅导员、学生家长、班主任等协同关注，既要对学生严格要求，也要体现人文关怀，对于受长期辅导而没有明显改善的，按学校规定给与退学等处理。</w:t>
      </w:r>
    </w:p>
    <w:p w:rsidR="00721A26" w:rsidRDefault="00721A26" w:rsidP="00721A26">
      <w:pPr>
        <w:spacing w:line="288" w:lineRule="auto"/>
        <w:ind w:firstLine="420"/>
        <w:rPr>
          <w:rFonts w:ascii="宋体" w:eastAsia="宋体" w:hAnsi="宋体" w:cs="Times New Roman"/>
          <w:szCs w:val="21"/>
        </w:rPr>
      </w:pPr>
      <w:r>
        <w:rPr>
          <w:rFonts w:ascii="宋体" w:eastAsia="宋体" w:hAnsi="宋体" w:cs="Times New Roman"/>
          <w:b/>
          <w:szCs w:val="21"/>
        </w:rPr>
        <w:t>4.转介工作室辅导</w:t>
      </w:r>
      <w:r>
        <w:rPr>
          <w:rFonts w:ascii="宋体" w:eastAsia="宋体" w:hAnsi="宋体" w:cs="Times New Roman" w:hint="eastAsia"/>
          <w:b/>
          <w:szCs w:val="21"/>
        </w:rPr>
        <w:t>。</w:t>
      </w:r>
      <w:r>
        <w:rPr>
          <w:rFonts w:ascii="宋体" w:eastAsia="宋体" w:hAnsi="宋体" w:cs="Times New Roman"/>
          <w:szCs w:val="21"/>
        </w:rPr>
        <w:t>对于学业出现复杂情况的预警对象，由辅导员协调学院学生学业发展辅导工作室或报请学校学生学业发展中心进行矫正与帮扶。</w:t>
      </w:r>
    </w:p>
    <w:p w:rsidR="00721A26" w:rsidRDefault="00721A26" w:rsidP="00721A26">
      <w:pPr>
        <w:spacing w:line="288" w:lineRule="auto"/>
        <w:ind w:firstLine="420"/>
        <w:rPr>
          <w:rFonts w:ascii="宋体" w:eastAsia="宋体" w:hAnsi="宋体" w:cs="Times New Roman"/>
          <w:szCs w:val="21"/>
        </w:rPr>
      </w:pPr>
      <w:r>
        <w:rPr>
          <w:rFonts w:ascii="宋体" w:eastAsia="宋体" w:hAnsi="宋体" w:cs="Times New Roman" w:hint="eastAsia"/>
          <w:b/>
          <w:szCs w:val="21"/>
        </w:rPr>
        <w:t>5</w:t>
      </w:r>
      <w:r>
        <w:rPr>
          <w:rFonts w:ascii="宋体" w:eastAsia="宋体" w:hAnsi="宋体" w:cs="Times New Roman"/>
          <w:b/>
          <w:szCs w:val="21"/>
        </w:rPr>
        <w:t>.</w:t>
      </w:r>
      <w:r>
        <w:rPr>
          <w:rFonts w:ascii="宋体" w:eastAsia="宋体" w:hAnsi="宋体" w:cs="Times New Roman" w:hint="eastAsia"/>
          <w:b/>
          <w:szCs w:val="21"/>
        </w:rPr>
        <w:t>填写《学业预警通知书送达报告》。</w:t>
      </w:r>
      <w:r>
        <w:rPr>
          <w:rFonts w:ascii="宋体" w:eastAsia="宋体" w:hAnsi="宋体" w:cs="Times New Roman" w:hint="eastAsia"/>
          <w:szCs w:val="21"/>
        </w:rPr>
        <w:t>报送主要内容包含学院开展预警工作的情况，告知学生、家长方式方法，收到反馈、时间等情况统计说明。在规范学业预警工作流程的同时，完成学业预警通知书下达的闭环，进一步督促学院建立家校联系长效机制。</w:t>
      </w:r>
    </w:p>
    <w:p w:rsidR="00721A26" w:rsidRDefault="00721A26" w:rsidP="00721A26">
      <w:pPr>
        <w:spacing w:line="288" w:lineRule="auto"/>
        <w:ind w:firstLine="420"/>
        <w:rPr>
          <w:rFonts w:ascii="宋体" w:eastAsia="宋体" w:hAnsi="宋体" w:cs="Times New Roman"/>
          <w:szCs w:val="21"/>
        </w:rPr>
      </w:pPr>
      <w:r>
        <w:rPr>
          <w:rFonts w:ascii="宋体" w:eastAsia="宋体" w:hAnsi="宋体" w:cs="Times New Roman"/>
          <w:noProof/>
          <w:szCs w:val="21"/>
        </w:rPr>
        <w:drawing>
          <wp:anchor distT="0" distB="0" distL="114300" distR="114300" simplePos="0" relativeHeight="251660288" behindDoc="0" locked="0" layoutInCell="1" allowOverlap="1" wp14:anchorId="2BB8FFD3" wp14:editId="733B0D8D">
            <wp:simplePos x="0" y="0"/>
            <wp:positionH relativeFrom="column">
              <wp:posOffset>266700</wp:posOffset>
            </wp:positionH>
            <wp:positionV relativeFrom="paragraph">
              <wp:posOffset>276225</wp:posOffset>
            </wp:positionV>
            <wp:extent cx="4514850" cy="2444750"/>
            <wp:effectExtent l="0" t="0" r="0" b="12700"/>
            <wp:wrapTopAndBottom/>
            <wp:docPr id="52" name="图片 52" descr="E:\3-2018学生工作\24制度\图片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descr="E:\3-2018学生工作\24制度\图片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514850" cy="2444750"/>
                    </a:xfrm>
                    <a:prstGeom prst="rect">
                      <a:avLst/>
                    </a:prstGeom>
                    <a:noFill/>
                    <a:ln>
                      <a:noFill/>
                    </a:ln>
                  </pic:spPr>
                </pic:pic>
              </a:graphicData>
            </a:graphic>
          </wp:anchor>
        </w:drawing>
      </w:r>
    </w:p>
    <w:p w:rsidR="00721A26" w:rsidRDefault="00721A26" w:rsidP="00721A26">
      <w:pPr>
        <w:spacing w:line="288" w:lineRule="auto"/>
        <w:ind w:firstLine="420"/>
        <w:jc w:val="center"/>
        <w:rPr>
          <w:rFonts w:ascii="宋体" w:eastAsia="宋体" w:hAnsi="宋体" w:cs="Times New Roman"/>
          <w:szCs w:val="21"/>
        </w:rPr>
      </w:pPr>
      <w:r>
        <w:rPr>
          <w:rFonts w:ascii="宋体" w:eastAsia="宋体" w:hAnsi="宋体" w:cs="Times New Roman" w:hint="eastAsia"/>
          <w:szCs w:val="21"/>
        </w:rPr>
        <w:t>图2</w:t>
      </w:r>
      <w:r>
        <w:rPr>
          <w:rFonts w:ascii="宋体" w:eastAsia="宋体" w:hAnsi="宋体" w:cs="Times New Roman"/>
          <w:szCs w:val="21"/>
        </w:rPr>
        <w:t>.1</w:t>
      </w:r>
      <w:r>
        <w:rPr>
          <w:rFonts w:ascii="宋体" w:eastAsia="宋体" w:hAnsi="宋体" w:cs="Times New Roman" w:hint="eastAsia"/>
          <w:szCs w:val="21"/>
        </w:rPr>
        <w:t>学业预警</w:t>
      </w:r>
      <w:r>
        <w:rPr>
          <w:rFonts w:ascii="宋体" w:eastAsia="宋体" w:hAnsi="宋体" w:cs="Times New Roman"/>
          <w:szCs w:val="21"/>
        </w:rPr>
        <w:t>工作流程</w:t>
      </w:r>
    </w:p>
    <w:p w:rsidR="00721A26" w:rsidRDefault="00721A26" w:rsidP="00721A26">
      <w:pPr>
        <w:spacing w:line="288" w:lineRule="auto"/>
        <w:ind w:firstLineChars="200" w:firstLine="422"/>
        <w:rPr>
          <w:rFonts w:ascii="宋体" w:eastAsia="宋体" w:hAnsi="宋体" w:cs="Times New Roman"/>
          <w:b/>
          <w:szCs w:val="21"/>
        </w:rPr>
      </w:pPr>
      <w:r>
        <w:rPr>
          <w:rFonts w:ascii="宋体" w:eastAsia="宋体" w:hAnsi="宋体" w:cs="Times New Roman" w:hint="eastAsia"/>
          <w:b/>
          <w:szCs w:val="21"/>
        </w:rPr>
        <w:t>（五）</w:t>
      </w:r>
      <w:r>
        <w:rPr>
          <w:rFonts w:ascii="宋体" w:eastAsia="宋体" w:hAnsi="宋体" w:cs="Times New Roman"/>
          <w:b/>
          <w:szCs w:val="21"/>
        </w:rPr>
        <w:t>学业预警的制度和</w:t>
      </w:r>
      <w:r>
        <w:rPr>
          <w:rFonts w:ascii="宋体" w:eastAsia="宋体" w:hAnsi="宋体" w:cs="Times New Roman" w:hint="eastAsia"/>
          <w:b/>
          <w:szCs w:val="21"/>
        </w:rPr>
        <w:t>条件保障</w:t>
      </w:r>
    </w:p>
    <w:p w:rsidR="00721A26" w:rsidRDefault="00721A26" w:rsidP="00721A26">
      <w:pPr>
        <w:spacing w:line="288" w:lineRule="auto"/>
        <w:ind w:firstLine="420"/>
        <w:rPr>
          <w:rFonts w:ascii="宋体" w:eastAsia="宋体" w:hAnsi="宋体" w:cs="Times New Roman"/>
          <w:b/>
          <w:szCs w:val="21"/>
        </w:rPr>
      </w:pPr>
      <w:r>
        <w:rPr>
          <w:rFonts w:ascii="宋体" w:eastAsia="宋体" w:hAnsi="宋体" w:cs="Times New Roman" w:hint="eastAsia"/>
          <w:b/>
          <w:szCs w:val="21"/>
        </w:rPr>
        <w:lastRenderedPageBreak/>
        <w:t>1</w:t>
      </w:r>
      <w:r>
        <w:rPr>
          <w:rFonts w:ascii="宋体" w:eastAsia="宋体" w:hAnsi="宋体" w:cs="Times New Roman"/>
          <w:b/>
          <w:szCs w:val="21"/>
        </w:rPr>
        <w:t>.</w:t>
      </w:r>
      <w:r>
        <w:rPr>
          <w:rFonts w:ascii="宋体" w:eastAsia="宋体" w:hAnsi="宋体" w:cs="Times New Roman" w:hint="eastAsia"/>
          <w:b/>
          <w:szCs w:val="21"/>
        </w:rPr>
        <w:t>以问题为导向</w:t>
      </w:r>
      <w:r>
        <w:rPr>
          <w:rFonts w:ascii="宋体" w:eastAsia="宋体" w:hAnsi="宋体" w:cs="Times New Roman"/>
          <w:b/>
          <w:szCs w:val="21"/>
        </w:rPr>
        <w:t>，</w:t>
      </w:r>
      <w:r>
        <w:rPr>
          <w:rFonts w:ascii="宋体" w:eastAsia="宋体" w:hAnsi="宋体" w:cs="Times New Roman" w:hint="eastAsia"/>
          <w:b/>
          <w:szCs w:val="21"/>
        </w:rPr>
        <w:t>以</w:t>
      </w:r>
      <w:r>
        <w:rPr>
          <w:rFonts w:ascii="宋体" w:eastAsia="宋体" w:hAnsi="宋体" w:cs="Times New Roman"/>
          <w:b/>
          <w:szCs w:val="21"/>
        </w:rPr>
        <w:t>项目</w:t>
      </w:r>
      <w:r>
        <w:rPr>
          <w:rFonts w:ascii="宋体" w:eastAsia="宋体" w:hAnsi="宋体" w:cs="Times New Roman" w:hint="eastAsia"/>
          <w:b/>
          <w:szCs w:val="21"/>
        </w:rPr>
        <w:t>为载体</w:t>
      </w:r>
      <w:r>
        <w:rPr>
          <w:rFonts w:ascii="宋体" w:eastAsia="宋体" w:hAnsi="宋体" w:cs="Times New Roman"/>
          <w:b/>
          <w:szCs w:val="21"/>
        </w:rPr>
        <w:t>推进学业帮扶</w:t>
      </w:r>
      <w:r>
        <w:rPr>
          <w:rFonts w:ascii="宋体" w:eastAsia="宋体" w:hAnsi="宋体" w:cs="Times New Roman" w:hint="eastAsia"/>
          <w:b/>
          <w:szCs w:val="21"/>
        </w:rPr>
        <w:t>。</w:t>
      </w:r>
      <w:r>
        <w:rPr>
          <w:rFonts w:ascii="宋体" w:eastAsia="宋体" w:hAnsi="宋体" w:cs="Times New Roman" w:hint="eastAsia"/>
          <w:szCs w:val="21"/>
        </w:rPr>
        <w:t>立足</w:t>
      </w:r>
      <w:r>
        <w:rPr>
          <w:rFonts w:ascii="宋体" w:eastAsia="宋体" w:hAnsi="宋体" w:cs="Times New Roman"/>
          <w:szCs w:val="21"/>
        </w:rPr>
        <w:t>学院特色</w:t>
      </w:r>
      <w:r>
        <w:rPr>
          <w:rFonts w:ascii="宋体" w:eastAsia="宋体" w:hAnsi="宋体" w:cs="Times New Roman" w:hint="eastAsia"/>
          <w:szCs w:val="21"/>
        </w:rPr>
        <w:t>立项建设学生学业发展辅导工作室和学习</w:t>
      </w:r>
      <w:r>
        <w:rPr>
          <w:rFonts w:ascii="宋体" w:eastAsia="宋体" w:hAnsi="宋体" w:cs="Times New Roman"/>
          <w:szCs w:val="21"/>
        </w:rPr>
        <w:t>支持</w:t>
      </w:r>
      <w:r>
        <w:rPr>
          <w:rFonts w:ascii="宋体" w:eastAsia="宋体" w:hAnsi="宋体" w:cs="Times New Roman" w:hint="eastAsia"/>
          <w:szCs w:val="21"/>
        </w:rPr>
        <w:t>团队。辅导工作室项目主要以</w:t>
      </w:r>
      <w:r>
        <w:rPr>
          <w:rFonts w:ascii="宋体" w:eastAsia="宋体" w:hAnsi="宋体" w:cs="Times New Roman"/>
          <w:szCs w:val="21"/>
        </w:rPr>
        <w:t>辅导员为主题，根据</w:t>
      </w:r>
      <w:r>
        <w:rPr>
          <w:rFonts w:ascii="宋体" w:eastAsia="宋体" w:hAnsi="宋体" w:cs="Times New Roman" w:hint="eastAsia"/>
          <w:szCs w:val="21"/>
        </w:rPr>
        <w:t>专业特色</w:t>
      </w:r>
      <w:r>
        <w:rPr>
          <w:rFonts w:ascii="宋体" w:eastAsia="宋体" w:hAnsi="宋体" w:cs="Times New Roman"/>
          <w:szCs w:val="21"/>
        </w:rPr>
        <w:t>打造学业规划与职业生涯规划</w:t>
      </w:r>
      <w:r>
        <w:rPr>
          <w:rFonts w:ascii="宋体" w:eastAsia="宋体" w:hAnsi="宋体" w:cs="Times New Roman" w:hint="eastAsia"/>
          <w:szCs w:val="21"/>
        </w:rPr>
        <w:t>、</w:t>
      </w:r>
      <w:r>
        <w:rPr>
          <w:rFonts w:ascii="宋体" w:eastAsia="宋体" w:hAnsi="宋体" w:cs="Times New Roman"/>
          <w:szCs w:val="21"/>
        </w:rPr>
        <w:t>资助工作与教育帮扶</w:t>
      </w:r>
      <w:r>
        <w:rPr>
          <w:rFonts w:ascii="宋体" w:eastAsia="宋体" w:hAnsi="宋体" w:cs="Times New Roman" w:hint="eastAsia"/>
          <w:szCs w:val="21"/>
        </w:rPr>
        <w:t>、</w:t>
      </w:r>
      <w:r>
        <w:rPr>
          <w:rFonts w:ascii="宋体" w:eastAsia="宋体" w:hAnsi="宋体" w:cs="Times New Roman"/>
          <w:szCs w:val="21"/>
        </w:rPr>
        <w:t>核心价值观教育</w:t>
      </w:r>
      <w:r>
        <w:rPr>
          <w:rFonts w:ascii="宋体" w:eastAsia="宋体" w:hAnsi="宋体" w:cs="Times New Roman" w:hint="eastAsia"/>
          <w:szCs w:val="21"/>
        </w:rPr>
        <w:t>、</w:t>
      </w:r>
      <w:r>
        <w:rPr>
          <w:rFonts w:ascii="宋体" w:eastAsia="宋体" w:hAnsi="宋体" w:cs="Times New Roman"/>
          <w:szCs w:val="21"/>
        </w:rPr>
        <w:t>心理健康教育</w:t>
      </w:r>
      <w:r>
        <w:rPr>
          <w:rFonts w:ascii="宋体" w:eastAsia="宋体" w:hAnsi="宋体" w:cs="Times New Roman" w:hint="eastAsia"/>
          <w:szCs w:val="21"/>
        </w:rPr>
        <w:t>等主题帮扶项目。学习支持团队目</w:t>
      </w:r>
      <w:r>
        <w:rPr>
          <w:rFonts w:ascii="宋体" w:eastAsia="宋体" w:hAnsi="宋体" w:cs="Times New Roman"/>
          <w:szCs w:val="21"/>
        </w:rPr>
        <w:t>主要以优秀学生</w:t>
      </w:r>
      <w:r>
        <w:rPr>
          <w:rFonts w:ascii="宋体" w:eastAsia="宋体" w:hAnsi="宋体" w:cs="Times New Roman" w:hint="eastAsia"/>
          <w:szCs w:val="21"/>
        </w:rPr>
        <w:t>团队</w:t>
      </w:r>
      <w:r>
        <w:rPr>
          <w:rFonts w:ascii="宋体" w:eastAsia="宋体" w:hAnsi="宋体" w:cs="Times New Roman"/>
          <w:szCs w:val="21"/>
        </w:rPr>
        <w:t>为主体，</w:t>
      </w:r>
      <w:r>
        <w:rPr>
          <w:rFonts w:ascii="宋体" w:eastAsia="宋体" w:hAnsi="宋体" w:cs="Times New Roman" w:hint="eastAsia"/>
          <w:szCs w:val="21"/>
        </w:rPr>
        <w:t>发挥</w:t>
      </w:r>
      <w:r>
        <w:rPr>
          <w:rFonts w:ascii="宋体" w:eastAsia="宋体" w:hAnsi="宋体" w:cs="Times New Roman"/>
          <w:szCs w:val="21"/>
        </w:rPr>
        <w:t>优秀学长学姐、</w:t>
      </w:r>
      <w:r>
        <w:rPr>
          <w:rFonts w:ascii="宋体" w:eastAsia="宋体" w:hAnsi="宋体" w:cs="Times New Roman" w:hint="eastAsia"/>
          <w:szCs w:val="21"/>
        </w:rPr>
        <w:t>学生骨干</w:t>
      </w:r>
      <w:r>
        <w:rPr>
          <w:rFonts w:ascii="宋体" w:eastAsia="宋体" w:hAnsi="宋体" w:cs="Times New Roman"/>
          <w:szCs w:val="21"/>
        </w:rPr>
        <w:t>，以</w:t>
      </w:r>
      <w:r>
        <w:rPr>
          <w:rFonts w:ascii="宋体" w:eastAsia="宋体" w:hAnsi="宋体" w:cs="Times New Roman" w:hint="eastAsia"/>
          <w:szCs w:val="21"/>
        </w:rPr>
        <w:t>朋辈力量</w:t>
      </w:r>
      <w:r>
        <w:rPr>
          <w:rFonts w:ascii="宋体" w:eastAsia="宋体" w:hAnsi="宋体" w:cs="Times New Roman"/>
          <w:szCs w:val="21"/>
        </w:rPr>
        <w:t>贴近生</w:t>
      </w:r>
      <w:r>
        <w:rPr>
          <w:rFonts w:ascii="宋体" w:eastAsia="宋体" w:hAnsi="宋体" w:cs="Times New Roman" w:hint="eastAsia"/>
          <w:szCs w:val="21"/>
        </w:rPr>
        <w:t>活</w:t>
      </w:r>
      <w:r>
        <w:rPr>
          <w:rFonts w:ascii="宋体" w:eastAsia="宋体" w:hAnsi="宋体" w:cs="Times New Roman"/>
          <w:szCs w:val="21"/>
        </w:rPr>
        <w:t>学习引领学业困难学生成长成才。</w:t>
      </w:r>
      <w:r>
        <w:rPr>
          <w:rFonts w:ascii="宋体" w:eastAsia="宋体" w:hAnsi="宋体" w:cs="Times New Roman" w:hint="eastAsia"/>
          <w:szCs w:val="21"/>
        </w:rPr>
        <w:t>2</w:t>
      </w:r>
      <w:r>
        <w:rPr>
          <w:rFonts w:ascii="宋体" w:eastAsia="宋体" w:hAnsi="宋体" w:cs="Times New Roman"/>
          <w:szCs w:val="21"/>
        </w:rPr>
        <w:t>016</w:t>
      </w:r>
      <w:r>
        <w:rPr>
          <w:rFonts w:ascii="宋体" w:eastAsia="宋体" w:hAnsi="宋体" w:cs="Times New Roman" w:hint="eastAsia"/>
          <w:szCs w:val="21"/>
        </w:rPr>
        <w:t>年共</w:t>
      </w:r>
      <w:r>
        <w:rPr>
          <w:rFonts w:ascii="宋体" w:eastAsia="宋体" w:hAnsi="宋体" w:cs="Times New Roman"/>
          <w:szCs w:val="21"/>
        </w:rPr>
        <w:t>建设</w:t>
      </w:r>
      <w:r>
        <w:rPr>
          <w:rFonts w:ascii="宋体" w:eastAsia="宋体" w:hAnsi="宋体" w:cs="Times New Roman" w:hint="eastAsia"/>
          <w:szCs w:val="21"/>
        </w:rPr>
        <w:t>7个辅导</w:t>
      </w:r>
      <w:r>
        <w:rPr>
          <w:rFonts w:ascii="宋体" w:eastAsia="宋体" w:hAnsi="宋体" w:cs="Times New Roman"/>
          <w:szCs w:val="21"/>
        </w:rPr>
        <w:t>工作室</w:t>
      </w:r>
      <w:r>
        <w:rPr>
          <w:rFonts w:ascii="宋体" w:eastAsia="宋体" w:hAnsi="宋体" w:cs="Times New Roman" w:hint="eastAsia"/>
          <w:szCs w:val="21"/>
        </w:rPr>
        <w:t>（结项6个</w:t>
      </w:r>
      <w:r>
        <w:rPr>
          <w:rFonts w:ascii="宋体" w:eastAsia="宋体" w:hAnsi="宋体" w:cs="Times New Roman"/>
          <w:szCs w:val="21"/>
        </w:rPr>
        <w:t>）、</w:t>
      </w:r>
      <w:r>
        <w:rPr>
          <w:rFonts w:ascii="宋体" w:eastAsia="宋体" w:hAnsi="宋体" w:cs="Times New Roman" w:hint="eastAsia"/>
          <w:szCs w:val="21"/>
        </w:rPr>
        <w:t>14个</w:t>
      </w:r>
      <w:r>
        <w:rPr>
          <w:rFonts w:ascii="宋体" w:eastAsia="宋体" w:hAnsi="宋体" w:cs="Times New Roman"/>
          <w:szCs w:val="21"/>
        </w:rPr>
        <w:t>学习支持团</w:t>
      </w:r>
      <w:r>
        <w:rPr>
          <w:rFonts w:ascii="宋体" w:eastAsia="宋体" w:hAnsi="宋体" w:cs="Times New Roman" w:hint="eastAsia"/>
          <w:szCs w:val="21"/>
        </w:rPr>
        <w:t>（结项13个</w:t>
      </w:r>
      <w:r>
        <w:rPr>
          <w:rFonts w:ascii="宋体" w:eastAsia="宋体" w:hAnsi="宋体" w:cs="Times New Roman"/>
          <w:szCs w:val="21"/>
        </w:rPr>
        <w:t>），</w:t>
      </w:r>
      <w:r>
        <w:rPr>
          <w:rFonts w:ascii="宋体" w:eastAsia="宋体" w:hAnsi="宋体" w:cs="Times New Roman" w:hint="eastAsia"/>
          <w:szCs w:val="21"/>
        </w:rPr>
        <w:t>开展志愿者“</w:t>
      </w:r>
      <w:r>
        <w:rPr>
          <w:rFonts w:ascii="宋体" w:eastAsia="宋体" w:hAnsi="宋体" w:cs="Times New Roman"/>
          <w:szCs w:val="21"/>
        </w:rPr>
        <w:t>1对1”帮扶1万余学时</w:t>
      </w:r>
      <w:r>
        <w:rPr>
          <w:rFonts w:ascii="宋体" w:eastAsia="宋体" w:hAnsi="宋体" w:cs="Times New Roman" w:hint="eastAsia"/>
          <w:szCs w:val="21"/>
        </w:rPr>
        <w:t>。2018年已经</w:t>
      </w:r>
      <w:r>
        <w:rPr>
          <w:rFonts w:ascii="宋体" w:eastAsia="宋体" w:hAnsi="宋体" w:cs="Times New Roman"/>
          <w:szCs w:val="21"/>
        </w:rPr>
        <w:t>立项审批</w:t>
      </w:r>
      <w:r>
        <w:rPr>
          <w:rFonts w:ascii="宋体" w:eastAsia="宋体" w:hAnsi="宋体" w:cs="Times New Roman" w:hint="eastAsia"/>
          <w:szCs w:val="21"/>
        </w:rPr>
        <w:t>10个</w:t>
      </w:r>
      <w:r>
        <w:rPr>
          <w:rFonts w:ascii="宋体" w:eastAsia="宋体" w:hAnsi="宋体" w:cs="Times New Roman"/>
          <w:szCs w:val="21"/>
        </w:rPr>
        <w:t>辅导工作室和</w:t>
      </w:r>
      <w:r>
        <w:rPr>
          <w:rFonts w:ascii="宋体" w:eastAsia="宋体" w:hAnsi="宋体" w:cs="Times New Roman" w:hint="eastAsia"/>
          <w:szCs w:val="21"/>
        </w:rPr>
        <w:t>15个学习</w:t>
      </w:r>
      <w:r>
        <w:rPr>
          <w:rFonts w:ascii="宋体" w:eastAsia="宋体" w:hAnsi="宋体" w:cs="Times New Roman"/>
          <w:szCs w:val="21"/>
        </w:rPr>
        <w:t>支持团队。</w:t>
      </w:r>
    </w:p>
    <w:p w:rsidR="00721A26" w:rsidRDefault="00721A26" w:rsidP="00721A26">
      <w:pPr>
        <w:spacing w:line="288" w:lineRule="auto"/>
        <w:ind w:firstLine="420"/>
        <w:rPr>
          <w:rFonts w:ascii="宋体" w:eastAsia="宋体" w:hAnsi="宋体" w:cs="Times New Roman"/>
          <w:b/>
          <w:szCs w:val="21"/>
        </w:rPr>
      </w:pPr>
      <w:r>
        <w:rPr>
          <w:rFonts w:ascii="宋体" w:eastAsia="宋体" w:hAnsi="宋体" w:cs="Times New Roman"/>
          <w:b/>
          <w:szCs w:val="21"/>
        </w:rPr>
        <w:t>2.</w:t>
      </w:r>
      <w:r>
        <w:rPr>
          <w:rFonts w:ascii="宋体" w:eastAsia="宋体" w:hAnsi="宋体" w:cs="Times New Roman" w:hint="eastAsia"/>
          <w:b/>
          <w:szCs w:val="21"/>
        </w:rPr>
        <w:t>制定</w:t>
      </w:r>
      <w:r>
        <w:rPr>
          <w:rFonts w:ascii="宋体" w:eastAsia="宋体" w:hAnsi="宋体" w:cs="Times New Roman"/>
          <w:b/>
          <w:szCs w:val="21"/>
        </w:rPr>
        <w:t>导师制，</w:t>
      </w:r>
      <w:r>
        <w:rPr>
          <w:rFonts w:ascii="宋体" w:eastAsia="宋体" w:hAnsi="宋体" w:cs="Times New Roman" w:hint="eastAsia"/>
          <w:b/>
          <w:szCs w:val="21"/>
        </w:rPr>
        <w:t>完善全员</w:t>
      </w:r>
      <w:r>
        <w:rPr>
          <w:rFonts w:ascii="宋体" w:eastAsia="宋体" w:hAnsi="宋体" w:cs="Times New Roman"/>
          <w:b/>
          <w:szCs w:val="21"/>
        </w:rPr>
        <w:t>育人体系，增进协同育人</w:t>
      </w:r>
      <w:r>
        <w:rPr>
          <w:rFonts w:ascii="宋体" w:eastAsia="宋体" w:hAnsi="宋体" w:cs="Times New Roman" w:hint="eastAsia"/>
          <w:b/>
          <w:szCs w:val="21"/>
        </w:rPr>
        <w:t>效果。</w:t>
      </w:r>
      <w:r>
        <w:rPr>
          <w:rFonts w:ascii="宋体" w:eastAsia="宋体" w:hAnsi="宋体" w:cs="Times New Roman" w:hint="eastAsia"/>
          <w:szCs w:val="21"/>
        </w:rPr>
        <w:t>实施本科生导师制，要促进一课堂与二课堂，学生工作队伍与教育教学队伍，学生思想政治工作与专业培养工作的深度融合。鼓励导师成为学生成长伙伴、学业导师、生涯导师、人生导师，充分发挥导师在学生学业生涯发展与学生全面发展的积极作用，为学生走向社会、走向成功、走好人生道路打下坚实的基础。进一步</w:t>
      </w:r>
      <w:r>
        <w:rPr>
          <w:rFonts w:ascii="宋体" w:eastAsia="宋体" w:hAnsi="宋体" w:cs="Times New Roman"/>
          <w:szCs w:val="21"/>
        </w:rPr>
        <w:t>制定</w:t>
      </w:r>
      <w:r>
        <w:rPr>
          <w:rFonts w:ascii="宋体" w:eastAsia="宋体" w:hAnsi="宋体" w:cs="Times New Roman" w:hint="eastAsia"/>
          <w:szCs w:val="21"/>
        </w:rPr>
        <w:t>成长服务课时实施办法，作为</w:t>
      </w:r>
      <w:r>
        <w:rPr>
          <w:rFonts w:ascii="宋体" w:eastAsia="宋体" w:hAnsi="宋体" w:cs="Times New Roman"/>
          <w:szCs w:val="21"/>
        </w:rPr>
        <w:t>导师制的</w:t>
      </w:r>
      <w:r>
        <w:rPr>
          <w:rFonts w:ascii="宋体" w:eastAsia="宋体" w:hAnsi="宋体" w:cs="Times New Roman" w:hint="eastAsia"/>
          <w:szCs w:val="21"/>
        </w:rPr>
        <w:t>课时量</w:t>
      </w:r>
      <w:r>
        <w:rPr>
          <w:rFonts w:ascii="宋体" w:eastAsia="宋体" w:hAnsi="宋体" w:cs="Times New Roman"/>
          <w:szCs w:val="21"/>
        </w:rPr>
        <w:t>、课酬等条件保障的补充</w:t>
      </w:r>
      <w:r>
        <w:rPr>
          <w:rFonts w:ascii="宋体" w:eastAsia="宋体" w:hAnsi="宋体" w:cs="Times New Roman" w:hint="eastAsia"/>
          <w:szCs w:val="21"/>
        </w:rPr>
        <w:t>。</w:t>
      </w:r>
      <w:r>
        <w:rPr>
          <w:rFonts w:ascii="宋体" w:eastAsia="宋体" w:hAnsi="宋体" w:cs="Times New Roman"/>
          <w:szCs w:val="21"/>
        </w:rPr>
        <w:t>目前</w:t>
      </w:r>
      <w:r>
        <w:rPr>
          <w:rFonts w:ascii="宋体" w:eastAsia="宋体" w:hAnsi="宋体" w:cs="Times New Roman" w:hint="eastAsia"/>
          <w:szCs w:val="21"/>
        </w:rPr>
        <w:t>，两个</w:t>
      </w:r>
      <w:r>
        <w:rPr>
          <w:rFonts w:ascii="宋体" w:eastAsia="宋体" w:hAnsi="宋体" w:cs="Times New Roman"/>
          <w:szCs w:val="21"/>
        </w:rPr>
        <w:t>制度已经拟定，</w:t>
      </w:r>
      <w:r>
        <w:rPr>
          <w:rFonts w:ascii="宋体" w:eastAsia="宋体" w:hAnsi="宋体" w:cs="Times New Roman" w:hint="eastAsia"/>
          <w:szCs w:val="21"/>
        </w:rPr>
        <w:t>正在</w:t>
      </w:r>
      <w:r>
        <w:rPr>
          <w:rFonts w:ascii="宋体" w:eastAsia="宋体" w:hAnsi="宋体" w:cs="Times New Roman"/>
          <w:szCs w:val="21"/>
        </w:rPr>
        <w:t>积极筹备实施。</w:t>
      </w:r>
    </w:p>
    <w:p w:rsidR="00721A26" w:rsidRDefault="00721A26" w:rsidP="00721A26">
      <w:pPr>
        <w:spacing w:line="288" w:lineRule="auto"/>
        <w:ind w:firstLine="420"/>
        <w:rPr>
          <w:rFonts w:ascii="宋体" w:eastAsia="宋体" w:hAnsi="宋体" w:cs="Times New Roman"/>
          <w:b/>
          <w:szCs w:val="21"/>
        </w:rPr>
      </w:pPr>
      <w:r>
        <w:rPr>
          <w:rFonts w:ascii="宋体" w:eastAsia="宋体" w:hAnsi="宋体" w:cs="Times New Roman" w:hint="eastAsia"/>
          <w:b/>
          <w:szCs w:val="21"/>
        </w:rPr>
        <w:t>3.以奖促学</w:t>
      </w:r>
      <w:r>
        <w:rPr>
          <w:rFonts w:ascii="宋体" w:eastAsia="宋体" w:hAnsi="宋体" w:cs="Times New Roman"/>
          <w:b/>
          <w:szCs w:val="21"/>
        </w:rPr>
        <w:t>，激发</w:t>
      </w:r>
      <w:r>
        <w:rPr>
          <w:rFonts w:ascii="宋体" w:eastAsia="宋体" w:hAnsi="宋体" w:cs="Times New Roman" w:hint="eastAsia"/>
          <w:b/>
          <w:szCs w:val="21"/>
        </w:rPr>
        <w:t>学生</w:t>
      </w:r>
      <w:r>
        <w:rPr>
          <w:rFonts w:ascii="宋体" w:eastAsia="宋体" w:hAnsi="宋体" w:cs="Times New Roman"/>
          <w:b/>
          <w:szCs w:val="21"/>
        </w:rPr>
        <w:t>学习动力，</w:t>
      </w:r>
      <w:r>
        <w:rPr>
          <w:rFonts w:ascii="宋体" w:eastAsia="宋体" w:hAnsi="宋体" w:cs="Times New Roman" w:hint="eastAsia"/>
          <w:b/>
          <w:szCs w:val="21"/>
        </w:rPr>
        <w:t>发挥</w:t>
      </w:r>
      <w:r>
        <w:rPr>
          <w:rFonts w:ascii="宋体" w:eastAsia="宋体" w:hAnsi="宋体" w:cs="Times New Roman"/>
          <w:b/>
          <w:szCs w:val="21"/>
        </w:rPr>
        <w:t>资助育人特色</w:t>
      </w:r>
      <w:r>
        <w:rPr>
          <w:rFonts w:ascii="宋体" w:eastAsia="宋体" w:hAnsi="宋体" w:cs="Times New Roman" w:hint="eastAsia"/>
          <w:b/>
          <w:szCs w:val="21"/>
        </w:rPr>
        <w:t>。</w:t>
      </w:r>
      <w:r>
        <w:rPr>
          <w:rFonts w:ascii="宋体" w:eastAsia="宋体" w:hAnsi="宋体" w:cs="Times New Roman"/>
          <w:szCs w:val="21"/>
        </w:rPr>
        <w:t>增设</w:t>
      </w:r>
      <w:r>
        <w:rPr>
          <w:rFonts w:ascii="宋体" w:eastAsia="宋体" w:hAnsi="宋体" w:cs="Times New Roman" w:hint="eastAsia"/>
          <w:szCs w:val="21"/>
        </w:rPr>
        <w:t>“学习</w:t>
      </w:r>
      <w:r>
        <w:rPr>
          <w:rFonts w:ascii="宋体" w:eastAsia="宋体" w:hAnsi="宋体" w:cs="Times New Roman"/>
          <w:szCs w:val="21"/>
        </w:rPr>
        <w:t>进步奖”</w:t>
      </w:r>
      <w:r>
        <w:rPr>
          <w:rFonts w:ascii="宋体" w:eastAsia="宋体" w:hAnsi="宋体" w:cs="Times New Roman" w:hint="eastAsia"/>
          <w:szCs w:val="21"/>
        </w:rPr>
        <w:t>，</w:t>
      </w:r>
      <w:r>
        <w:rPr>
          <w:rFonts w:ascii="宋体" w:eastAsia="宋体" w:hAnsi="宋体" w:cs="Times New Roman"/>
          <w:szCs w:val="21"/>
        </w:rPr>
        <w:t>专门针对没获得</w:t>
      </w:r>
      <w:r>
        <w:rPr>
          <w:rFonts w:ascii="宋体" w:eastAsia="宋体" w:hAnsi="宋体" w:cs="Times New Roman" w:hint="eastAsia"/>
          <w:szCs w:val="21"/>
        </w:rPr>
        <w:t>其他</w:t>
      </w:r>
      <w:r>
        <w:rPr>
          <w:rFonts w:ascii="宋体" w:eastAsia="宋体" w:hAnsi="宋体" w:cs="Times New Roman"/>
          <w:szCs w:val="21"/>
        </w:rPr>
        <w:t>专业奖学金但在学业上有所进步</w:t>
      </w:r>
      <w:r>
        <w:rPr>
          <w:rFonts w:ascii="宋体" w:eastAsia="宋体" w:hAnsi="宋体" w:cs="Times New Roman" w:hint="eastAsia"/>
          <w:szCs w:val="21"/>
        </w:rPr>
        <w:t>学生</w:t>
      </w:r>
      <w:r>
        <w:rPr>
          <w:rFonts w:ascii="宋体" w:eastAsia="宋体" w:hAnsi="宋体" w:cs="Times New Roman"/>
          <w:szCs w:val="21"/>
        </w:rPr>
        <w:t>，</w:t>
      </w:r>
      <w:r>
        <w:rPr>
          <w:rFonts w:ascii="宋体" w:eastAsia="宋体" w:hAnsi="宋体" w:cs="Times New Roman" w:hint="eastAsia"/>
          <w:szCs w:val="21"/>
        </w:rPr>
        <w:t>每年总共</w:t>
      </w:r>
      <w:r>
        <w:rPr>
          <w:rFonts w:ascii="宋体" w:eastAsia="宋体" w:hAnsi="宋体" w:cs="Times New Roman"/>
          <w:szCs w:val="21"/>
        </w:rPr>
        <w:t>奖励</w:t>
      </w:r>
      <w:r>
        <w:rPr>
          <w:rFonts w:ascii="宋体" w:eastAsia="宋体" w:hAnsi="宋体" w:cs="Times New Roman" w:hint="eastAsia"/>
          <w:szCs w:val="21"/>
        </w:rPr>
        <w:t>20万元</w:t>
      </w:r>
      <w:r>
        <w:rPr>
          <w:rFonts w:ascii="宋体" w:eastAsia="宋体" w:hAnsi="宋体" w:cs="Times New Roman"/>
          <w:szCs w:val="21"/>
        </w:rPr>
        <w:t>。开展综合素质测评</w:t>
      </w:r>
      <w:r>
        <w:rPr>
          <w:rFonts w:ascii="宋体" w:eastAsia="宋体" w:hAnsi="宋体" w:cs="Times New Roman" w:hint="eastAsia"/>
          <w:szCs w:val="21"/>
        </w:rPr>
        <w:t>修订</w:t>
      </w:r>
      <w:r>
        <w:rPr>
          <w:rFonts w:ascii="宋体" w:eastAsia="宋体" w:hAnsi="宋体" w:cs="Times New Roman"/>
          <w:szCs w:val="21"/>
        </w:rPr>
        <w:t>工作，要综合考察学生思想政治素质、身心健康水平、学业发展水平、兴趣发展水平、实践创新能力，发挥综合素质测评的正确导向，</w:t>
      </w:r>
      <w:r>
        <w:rPr>
          <w:rFonts w:ascii="宋体" w:eastAsia="宋体" w:hAnsi="宋体" w:cs="Times New Roman" w:hint="eastAsia"/>
          <w:szCs w:val="21"/>
        </w:rPr>
        <w:t>以</w:t>
      </w:r>
      <w:r>
        <w:rPr>
          <w:rFonts w:ascii="宋体" w:eastAsia="宋体" w:hAnsi="宋体" w:cs="Times New Roman"/>
          <w:szCs w:val="21"/>
        </w:rPr>
        <w:t>工作规范化和科学化</w:t>
      </w:r>
      <w:r>
        <w:rPr>
          <w:rFonts w:ascii="宋体" w:eastAsia="宋体" w:hAnsi="宋体" w:cs="Times New Roman" w:hint="eastAsia"/>
          <w:szCs w:val="21"/>
        </w:rPr>
        <w:t>育人</w:t>
      </w:r>
      <w:r>
        <w:rPr>
          <w:rFonts w:ascii="宋体" w:eastAsia="宋体" w:hAnsi="宋体" w:cs="Times New Roman"/>
          <w:szCs w:val="21"/>
        </w:rPr>
        <w:t>。通过每学期学业</w:t>
      </w:r>
      <w:r>
        <w:rPr>
          <w:rFonts w:ascii="宋体" w:eastAsia="宋体" w:hAnsi="宋体" w:cs="Times New Roman" w:hint="eastAsia"/>
          <w:szCs w:val="21"/>
        </w:rPr>
        <w:t>规划进展认定</w:t>
      </w:r>
      <w:r>
        <w:rPr>
          <w:rFonts w:ascii="宋体" w:eastAsia="宋体" w:hAnsi="宋体" w:cs="Times New Roman"/>
          <w:szCs w:val="21"/>
        </w:rPr>
        <w:t>，</w:t>
      </w:r>
      <w:r>
        <w:rPr>
          <w:rFonts w:ascii="宋体" w:eastAsia="宋体" w:hAnsi="宋体" w:cs="Times New Roman" w:hint="eastAsia"/>
          <w:szCs w:val="21"/>
        </w:rPr>
        <w:t>鼓励学生获得创新学分</w:t>
      </w:r>
      <w:r>
        <w:rPr>
          <w:rFonts w:ascii="宋体" w:eastAsia="宋体" w:hAnsi="宋体" w:cs="Times New Roman"/>
          <w:szCs w:val="21"/>
        </w:rPr>
        <w:t>。</w:t>
      </w:r>
    </w:p>
    <w:p w:rsidR="00721A26" w:rsidRDefault="00721A26" w:rsidP="00721A26">
      <w:pPr>
        <w:spacing w:line="288" w:lineRule="auto"/>
        <w:ind w:firstLine="420"/>
        <w:rPr>
          <w:rFonts w:ascii="宋体" w:eastAsia="宋体" w:hAnsi="宋体" w:cs="Times New Roman"/>
          <w:b/>
          <w:szCs w:val="21"/>
        </w:rPr>
      </w:pPr>
      <w:r>
        <w:rPr>
          <w:rFonts w:ascii="宋体" w:eastAsia="宋体" w:hAnsi="宋体" w:cs="Times New Roman" w:hint="eastAsia"/>
          <w:b/>
          <w:szCs w:val="21"/>
        </w:rPr>
        <w:t>4</w:t>
      </w:r>
      <w:r>
        <w:rPr>
          <w:rFonts w:ascii="宋体" w:eastAsia="宋体" w:hAnsi="宋体" w:cs="Times New Roman"/>
          <w:b/>
          <w:szCs w:val="21"/>
        </w:rPr>
        <w:t>.</w:t>
      </w:r>
      <w:r>
        <w:rPr>
          <w:rFonts w:ascii="宋体" w:eastAsia="宋体" w:hAnsi="宋体" w:cs="Times New Roman" w:hint="eastAsia"/>
          <w:b/>
          <w:szCs w:val="21"/>
        </w:rPr>
        <w:t>配备有效</w:t>
      </w:r>
      <w:r>
        <w:rPr>
          <w:rFonts w:ascii="宋体" w:eastAsia="宋体" w:hAnsi="宋体" w:cs="Times New Roman"/>
          <w:b/>
          <w:szCs w:val="21"/>
        </w:rPr>
        <w:t>资源，保障学业帮扶正常运行</w:t>
      </w:r>
      <w:r>
        <w:rPr>
          <w:rFonts w:ascii="宋体" w:eastAsia="宋体" w:hAnsi="宋体" w:cs="Times New Roman" w:hint="eastAsia"/>
          <w:b/>
          <w:szCs w:val="21"/>
        </w:rPr>
        <w:t>。</w:t>
      </w:r>
      <w:r>
        <w:rPr>
          <w:rFonts w:ascii="宋体" w:eastAsia="宋体" w:hAnsi="宋体" w:cs="Times New Roman" w:hint="eastAsia"/>
          <w:szCs w:val="21"/>
        </w:rPr>
        <w:t>通过对学业辅导工作的量化管理</w:t>
      </w:r>
      <w:r>
        <w:rPr>
          <w:rFonts w:ascii="宋体" w:eastAsia="宋体" w:hAnsi="宋体" w:cs="Times New Roman"/>
          <w:szCs w:val="21"/>
        </w:rPr>
        <w:t>，</w:t>
      </w:r>
      <w:r>
        <w:rPr>
          <w:rFonts w:ascii="宋体" w:eastAsia="宋体" w:hAnsi="宋体" w:cs="Times New Roman" w:hint="eastAsia"/>
          <w:szCs w:val="21"/>
        </w:rPr>
        <w:t>对组织</w:t>
      </w:r>
      <w:r>
        <w:rPr>
          <w:rFonts w:ascii="宋体" w:eastAsia="宋体" w:hAnsi="宋体" w:cs="Times New Roman"/>
          <w:szCs w:val="21"/>
        </w:rPr>
        <w:t>参与辅导课程的教师</w:t>
      </w:r>
      <w:r>
        <w:rPr>
          <w:rFonts w:ascii="宋体" w:eastAsia="宋体" w:hAnsi="宋体" w:cs="Times New Roman" w:hint="eastAsia"/>
          <w:szCs w:val="21"/>
        </w:rPr>
        <w:t>课酬认定</w:t>
      </w:r>
      <w:r>
        <w:rPr>
          <w:rFonts w:ascii="宋体" w:eastAsia="宋体" w:hAnsi="宋体" w:cs="Times New Roman"/>
          <w:szCs w:val="21"/>
        </w:rPr>
        <w:t>及奖励</w:t>
      </w:r>
      <w:r>
        <w:rPr>
          <w:rFonts w:ascii="宋体" w:eastAsia="宋体" w:hAnsi="宋体" w:cs="Times New Roman" w:hint="eastAsia"/>
          <w:szCs w:val="21"/>
        </w:rPr>
        <w:t>，极大程度调动广大教师学生学业辅导的积极性</w:t>
      </w:r>
      <w:r>
        <w:rPr>
          <w:rFonts w:ascii="宋体" w:eastAsia="宋体" w:hAnsi="宋体" w:cs="Times New Roman"/>
          <w:szCs w:val="21"/>
        </w:rPr>
        <w:t>。</w:t>
      </w:r>
      <w:r>
        <w:rPr>
          <w:rFonts w:ascii="宋体" w:eastAsia="宋体" w:hAnsi="宋体" w:cs="Times New Roman" w:hint="eastAsia"/>
          <w:szCs w:val="21"/>
        </w:rPr>
        <w:t>截止2017</w:t>
      </w:r>
      <w:r>
        <w:rPr>
          <w:rFonts w:ascii="宋体" w:eastAsia="宋体" w:hAnsi="宋体" w:cs="Times New Roman"/>
          <w:szCs w:val="21"/>
        </w:rPr>
        <w:t>-2018</w:t>
      </w:r>
      <w:r>
        <w:rPr>
          <w:rFonts w:ascii="宋体" w:eastAsia="宋体" w:hAnsi="宋体" w:cs="Times New Roman" w:hint="eastAsia"/>
          <w:szCs w:val="21"/>
        </w:rPr>
        <w:t>学年</w:t>
      </w:r>
      <w:r>
        <w:rPr>
          <w:rFonts w:ascii="宋体" w:eastAsia="宋体" w:hAnsi="宋体" w:cs="Times New Roman"/>
          <w:szCs w:val="21"/>
        </w:rPr>
        <w:t>第一学期，辅导课程已经开展</w:t>
      </w:r>
      <w:r>
        <w:rPr>
          <w:rFonts w:ascii="宋体" w:eastAsia="宋体" w:hAnsi="宋体" w:cs="Times New Roman" w:hint="eastAsia"/>
          <w:szCs w:val="21"/>
        </w:rPr>
        <w:t>5期</w:t>
      </w:r>
      <w:r>
        <w:rPr>
          <w:rFonts w:ascii="宋体" w:eastAsia="宋体" w:hAnsi="宋体" w:cs="Times New Roman"/>
          <w:szCs w:val="21"/>
        </w:rPr>
        <w:t>辅导课程</w:t>
      </w:r>
      <w:r>
        <w:rPr>
          <w:rFonts w:ascii="宋体" w:eastAsia="宋体" w:hAnsi="宋体" w:cs="Times New Roman" w:hint="eastAsia"/>
          <w:szCs w:val="21"/>
        </w:rPr>
        <w:t>，</w:t>
      </w:r>
      <w:r>
        <w:rPr>
          <w:rFonts w:ascii="宋体" w:eastAsia="宋体" w:hAnsi="宋体" w:cs="Times New Roman"/>
          <w:szCs w:val="21"/>
        </w:rPr>
        <w:t>共开展</w:t>
      </w:r>
      <w:r>
        <w:rPr>
          <w:rFonts w:ascii="宋体" w:eastAsia="宋体" w:hAnsi="宋体" w:cs="Times New Roman" w:hint="eastAsia"/>
          <w:szCs w:val="21"/>
        </w:rPr>
        <w:t>80门次</w:t>
      </w:r>
      <w:r>
        <w:rPr>
          <w:rFonts w:ascii="宋体" w:eastAsia="宋体" w:hAnsi="宋体" w:cs="Times New Roman"/>
          <w:szCs w:val="21"/>
        </w:rPr>
        <w:t>辅导课程，</w:t>
      </w:r>
      <w:r>
        <w:rPr>
          <w:rFonts w:ascii="宋体" w:eastAsia="宋体" w:hAnsi="宋体" w:cs="Times New Roman" w:hint="eastAsia"/>
          <w:szCs w:val="21"/>
        </w:rPr>
        <w:t>4482人</w:t>
      </w:r>
      <w:r>
        <w:rPr>
          <w:rFonts w:ascii="宋体" w:eastAsia="宋体" w:hAnsi="宋体" w:cs="Times New Roman"/>
          <w:szCs w:val="21"/>
        </w:rPr>
        <w:t>参与辅导课程，</w:t>
      </w:r>
      <w:r>
        <w:rPr>
          <w:rFonts w:ascii="宋体" w:eastAsia="宋体" w:hAnsi="宋体" w:cs="Times New Roman" w:hint="eastAsia"/>
          <w:szCs w:val="21"/>
        </w:rPr>
        <w:t>通过3061名</w:t>
      </w:r>
      <w:r>
        <w:rPr>
          <w:rFonts w:ascii="宋体" w:eastAsia="宋体" w:hAnsi="宋体" w:cs="Times New Roman"/>
          <w:szCs w:val="21"/>
        </w:rPr>
        <w:t>学生</w:t>
      </w:r>
      <w:r>
        <w:rPr>
          <w:rFonts w:ascii="宋体" w:eastAsia="宋体" w:hAnsi="宋体" w:cs="Times New Roman" w:hint="eastAsia"/>
          <w:szCs w:val="21"/>
        </w:rPr>
        <w:t>，通过率68.30</w:t>
      </w:r>
      <w:r>
        <w:rPr>
          <w:rFonts w:ascii="宋体" w:eastAsia="宋体" w:hAnsi="宋体" w:cs="Times New Roman"/>
          <w:szCs w:val="21"/>
        </w:rPr>
        <w:t>%，高于全校重修</w:t>
      </w:r>
      <w:r>
        <w:rPr>
          <w:rFonts w:ascii="宋体" w:eastAsia="宋体" w:hAnsi="宋体" w:cs="Times New Roman" w:hint="eastAsia"/>
          <w:szCs w:val="21"/>
        </w:rPr>
        <w:t>平均</w:t>
      </w:r>
      <w:r>
        <w:rPr>
          <w:rFonts w:ascii="宋体" w:eastAsia="宋体" w:hAnsi="宋体" w:cs="Times New Roman"/>
          <w:szCs w:val="21"/>
        </w:rPr>
        <w:t>水平，</w:t>
      </w:r>
      <w:r>
        <w:rPr>
          <w:rFonts w:ascii="宋体" w:eastAsia="宋体" w:hAnsi="宋体" w:cs="Times New Roman" w:hint="eastAsia"/>
          <w:szCs w:val="21"/>
        </w:rPr>
        <w:t>认定有效</w:t>
      </w:r>
      <w:r>
        <w:rPr>
          <w:rFonts w:ascii="宋体" w:eastAsia="宋体" w:hAnsi="宋体" w:cs="Times New Roman"/>
          <w:szCs w:val="21"/>
        </w:rPr>
        <w:t>学</w:t>
      </w:r>
      <w:r>
        <w:rPr>
          <w:rFonts w:ascii="宋体" w:eastAsia="宋体" w:hAnsi="宋体" w:cs="Times New Roman" w:hint="eastAsia"/>
          <w:szCs w:val="21"/>
        </w:rPr>
        <w:t>辅导3771个</w:t>
      </w:r>
      <w:r>
        <w:rPr>
          <w:rFonts w:ascii="宋体" w:eastAsia="宋体" w:hAnsi="宋体" w:cs="Times New Roman"/>
          <w:szCs w:val="21"/>
        </w:rPr>
        <w:t>学时</w:t>
      </w:r>
      <w:r>
        <w:rPr>
          <w:rFonts w:ascii="宋体" w:eastAsia="宋体" w:hAnsi="宋体" w:cs="Times New Roman" w:hint="eastAsia"/>
          <w:szCs w:val="21"/>
        </w:rPr>
        <w:t>，发放金额188550元</w:t>
      </w:r>
      <w:r>
        <w:rPr>
          <w:rFonts w:ascii="宋体" w:eastAsia="宋体" w:hAnsi="宋体" w:cs="Times New Roman"/>
          <w:szCs w:val="21"/>
        </w:rPr>
        <w:t>整。</w:t>
      </w:r>
    </w:p>
    <w:p w:rsidR="00721A26" w:rsidRDefault="00721A26" w:rsidP="00721A26">
      <w:pPr>
        <w:spacing w:line="288" w:lineRule="auto"/>
        <w:ind w:firstLine="420"/>
        <w:rPr>
          <w:rFonts w:ascii="宋体" w:eastAsia="宋体" w:hAnsi="宋体" w:cs="Times New Roman"/>
          <w:b/>
          <w:szCs w:val="21"/>
        </w:rPr>
      </w:pPr>
      <w:r>
        <w:rPr>
          <w:rFonts w:ascii="宋体" w:eastAsia="宋体" w:hAnsi="宋体" w:cs="Times New Roman" w:hint="eastAsia"/>
          <w:b/>
          <w:szCs w:val="21"/>
        </w:rPr>
        <w:t>5</w:t>
      </w:r>
      <w:r>
        <w:rPr>
          <w:rFonts w:ascii="宋体" w:eastAsia="宋体" w:hAnsi="宋体" w:cs="Times New Roman"/>
          <w:b/>
          <w:szCs w:val="21"/>
        </w:rPr>
        <w:t>.</w:t>
      </w:r>
      <w:r>
        <w:rPr>
          <w:rFonts w:ascii="宋体" w:eastAsia="宋体" w:hAnsi="宋体" w:cs="Times New Roman" w:hint="eastAsia"/>
          <w:b/>
          <w:szCs w:val="21"/>
        </w:rPr>
        <w:t>深入分析学业预警学生，提高</w:t>
      </w:r>
      <w:r>
        <w:rPr>
          <w:rFonts w:ascii="宋体" w:eastAsia="宋体" w:hAnsi="宋体" w:cs="Times New Roman"/>
          <w:b/>
          <w:szCs w:val="21"/>
        </w:rPr>
        <w:t>帮扶识别精准度</w:t>
      </w:r>
      <w:r>
        <w:rPr>
          <w:rFonts w:ascii="宋体" w:eastAsia="宋体" w:hAnsi="宋体" w:cs="Times New Roman" w:hint="eastAsia"/>
          <w:b/>
          <w:szCs w:val="21"/>
        </w:rPr>
        <w:t>。</w:t>
      </w:r>
      <w:r>
        <w:rPr>
          <w:rFonts w:ascii="宋体" w:eastAsia="宋体" w:hAnsi="宋体" w:cs="Times New Roman" w:hint="eastAsia"/>
          <w:szCs w:val="21"/>
        </w:rPr>
        <w:t>积极推进精准帮扶项目，拓展深化民族团结思想引领、实践教育、学业支持、生涯规划和就业指导嵌入式教育途径，细化学生学业预警帮扶工作内容，完善分级分类分层培养体系，深化学情分析、学习发展跟踪调查研究成果应用，提升学情分析报告服务学校决策能力。目前，</w:t>
      </w:r>
      <w:r>
        <w:rPr>
          <w:rFonts w:ascii="宋体" w:eastAsia="宋体" w:hAnsi="宋体" w:cs="Times New Roman"/>
          <w:szCs w:val="21"/>
        </w:rPr>
        <w:t>共起草印发</w:t>
      </w:r>
      <w:r>
        <w:rPr>
          <w:rFonts w:ascii="宋体" w:eastAsia="宋体" w:hAnsi="宋体" w:cs="Times New Roman" w:hint="eastAsia"/>
          <w:szCs w:val="21"/>
        </w:rPr>
        <w:t>八</w:t>
      </w:r>
      <w:r>
        <w:rPr>
          <w:rFonts w:ascii="宋体" w:eastAsia="宋体" w:hAnsi="宋体" w:cs="Times New Roman"/>
          <w:szCs w:val="21"/>
        </w:rPr>
        <w:t>期学业预警学生学期分析报告，</w:t>
      </w:r>
      <w:r>
        <w:rPr>
          <w:rFonts w:ascii="宋体" w:eastAsia="宋体" w:hAnsi="宋体" w:cs="Times New Roman" w:hint="eastAsia"/>
          <w:szCs w:val="21"/>
        </w:rPr>
        <w:t>约30万字，较大</w:t>
      </w:r>
      <w:r>
        <w:rPr>
          <w:rFonts w:ascii="宋体" w:eastAsia="宋体" w:hAnsi="宋体" w:cs="Times New Roman"/>
          <w:szCs w:val="21"/>
        </w:rPr>
        <w:t>提升学生学业</w:t>
      </w:r>
      <w:r>
        <w:rPr>
          <w:rFonts w:ascii="宋体" w:eastAsia="宋体" w:hAnsi="宋体" w:cs="Times New Roman" w:hint="eastAsia"/>
          <w:szCs w:val="21"/>
        </w:rPr>
        <w:t>质量</w:t>
      </w:r>
      <w:r>
        <w:rPr>
          <w:rFonts w:ascii="宋体" w:eastAsia="宋体" w:hAnsi="宋体" w:cs="Times New Roman"/>
          <w:szCs w:val="21"/>
        </w:rPr>
        <w:t>，</w:t>
      </w:r>
      <w:r>
        <w:rPr>
          <w:rFonts w:ascii="宋体" w:eastAsia="宋体" w:hAnsi="宋体" w:cs="Times New Roman" w:hint="eastAsia"/>
          <w:szCs w:val="21"/>
        </w:rPr>
        <w:t>受到主管部门和全校师生广泛好评。</w:t>
      </w:r>
    </w:p>
    <w:p w:rsidR="00721A26" w:rsidRDefault="00721A26" w:rsidP="00721A26">
      <w:pPr>
        <w:spacing w:line="288" w:lineRule="auto"/>
        <w:ind w:firstLine="420"/>
        <w:rPr>
          <w:rFonts w:ascii="宋体" w:eastAsia="宋体" w:hAnsi="宋体" w:cs="Times New Roman"/>
          <w:b/>
          <w:szCs w:val="21"/>
        </w:rPr>
      </w:pPr>
      <w:r>
        <w:rPr>
          <w:rFonts w:ascii="宋体" w:eastAsia="宋体" w:hAnsi="宋体" w:cs="Times New Roman"/>
          <w:b/>
          <w:szCs w:val="21"/>
        </w:rPr>
        <w:t>6.</w:t>
      </w:r>
      <w:r>
        <w:rPr>
          <w:rFonts w:ascii="宋体" w:eastAsia="宋体" w:hAnsi="宋体" w:cs="Times New Roman" w:hint="eastAsia"/>
          <w:b/>
          <w:szCs w:val="21"/>
        </w:rPr>
        <w:t>建立</w:t>
      </w:r>
      <w:r>
        <w:rPr>
          <w:rFonts w:ascii="宋体" w:eastAsia="宋体" w:hAnsi="宋体" w:cs="Times New Roman"/>
          <w:b/>
          <w:szCs w:val="21"/>
        </w:rPr>
        <w:t>信息化学业预警平台，</w:t>
      </w:r>
      <w:r>
        <w:rPr>
          <w:rFonts w:ascii="宋体" w:eastAsia="宋体" w:hAnsi="宋体" w:cs="Times New Roman" w:hint="eastAsia"/>
          <w:b/>
          <w:szCs w:val="21"/>
        </w:rPr>
        <w:t>保证</w:t>
      </w:r>
      <w:r>
        <w:rPr>
          <w:rFonts w:ascii="宋体" w:eastAsia="宋体" w:hAnsi="宋体" w:cs="Times New Roman"/>
          <w:b/>
          <w:szCs w:val="21"/>
        </w:rPr>
        <w:t>精准帮扶</w:t>
      </w:r>
      <w:r>
        <w:rPr>
          <w:rFonts w:ascii="宋体" w:eastAsia="宋体" w:hAnsi="宋体" w:cs="Times New Roman" w:hint="eastAsia"/>
          <w:b/>
          <w:szCs w:val="21"/>
        </w:rPr>
        <w:t>高效性。</w:t>
      </w:r>
      <w:r>
        <w:rPr>
          <w:rFonts w:ascii="宋体" w:eastAsia="宋体" w:hAnsi="宋体" w:cs="Times New Roman" w:hint="eastAsia"/>
          <w:szCs w:val="21"/>
        </w:rPr>
        <w:t>利用学校</w:t>
      </w:r>
      <w:r>
        <w:rPr>
          <w:rFonts w:ascii="宋体" w:eastAsia="宋体" w:hAnsi="宋体" w:cs="Times New Roman"/>
          <w:szCs w:val="21"/>
        </w:rPr>
        <w:t>网格化和信息化</w:t>
      </w:r>
      <w:r>
        <w:rPr>
          <w:rFonts w:ascii="宋体" w:eastAsia="宋体" w:hAnsi="宋体" w:cs="Times New Roman" w:hint="eastAsia"/>
          <w:szCs w:val="21"/>
        </w:rPr>
        <w:t>成果</w:t>
      </w:r>
      <w:r>
        <w:rPr>
          <w:rFonts w:ascii="宋体" w:eastAsia="宋体" w:hAnsi="宋体" w:cs="Times New Roman"/>
          <w:szCs w:val="21"/>
        </w:rPr>
        <w:t>，根据学业发展中心特色，建设学业预警分析系统，拟定学业预警指标，</w:t>
      </w:r>
      <w:r>
        <w:rPr>
          <w:rFonts w:ascii="宋体" w:eastAsia="宋体" w:hAnsi="宋体" w:cs="Times New Roman" w:hint="eastAsia"/>
          <w:szCs w:val="21"/>
        </w:rPr>
        <w:t>结合</w:t>
      </w:r>
      <w:r>
        <w:rPr>
          <w:rFonts w:ascii="宋体" w:eastAsia="宋体" w:hAnsi="宋体" w:cs="Times New Roman"/>
          <w:szCs w:val="21"/>
        </w:rPr>
        <w:t>学院实际，通过预警</w:t>
      </w:r>
      <w:r>
        <w:rPr>
          <w:rFonts w:ascii="宋体" w:eastAsia="宋体" w:hAnsi="宋体" w:cs="Times New Roman" w:hint="eastAsia"/>
          <w:szCs w:val="21"/>
        </w:rPr>
        <w:t>分析</w:t>
      </w:r>
      <w:r>
        <w:rPr>
          <w:rFonts w:ascii="宋体" w:eastAsia="宋体" w:hAnsi="宋体" w:cs="Times New Roman"/>
          <w:szCs w:val="21"/>
        </w:rPr>
        <w:t>系统判定学业预警学生，为学校和个人提供参考并实施帮扶。</w:t>
      </w:r>
      <w:r>
        <w:rPr>
          <w:rFonts w:ascii="宋体" w:eastAsia="宋体" w:hAnsi="宋体" w:cs="Times New Roman" w:hint="eastAsia"/>
          <w:szCs w:val="21"/>
        </w:rPr>
        <w:t>结合</w:t>
      </w:r>
      <w:r>
        <w:rPr>
          <w:rFonts w:ascii="宋体" w:eastAsia="宋体" w:hAnsi="宋体" w:cs="Times New Roman"/>
          <w:szCs w:val="21"/>
        </w:rPr>
        <w:t>网格化</w:t>
      </w:r>
      <w:r>
        <w:rPr>
          <w:rFonts w:ascii="宋体" w:eastAsia="宋体" w:hAnsi="宋体" w:cs="Times New Roman" w:hint="eastAsia"/>
          <w:szCs w:val="21"/>
        </w:rPr>
        <w:t>建设</w:t>
      </w:r>
      <w:r>
        <w:rPr>
          <w:rFonts w:ascii="宋体" w:eastAsia="宋体" w:hAnsi="宋体" w:cs="Times New Roman"/>
          <w:szCs w:val="21"/>
        </w:rPr>
        <w:t>契机，建立学业预警</w:t>
      </w:r>
      <w:r>
        <w:rPr>
          <w:rFonts w:ascii="宋体" w:eastAsia="宋体" w:hAnsi="宋体" w:cs="Times New Roman" w:hint="eastAsia"/>
          <w:szCs w:val="21"/>
        </w:rPr>
        <w:t>帮扶</w:t>
      </w:r>
      <w:r>
        <w:rPr>
          <w:rFonts w:ascii="宋体" w:eastAsia="宋体" w:hAnsi="宋体" w:cs="Times New Roman"/>
          <w:szCs w:val="21"/>
        </w:rPr>
        <w:t>，</w:t>
      </w:r>
      <w:r>
        <w:rPr>
          <w:rFonts w:ascii="宋体" w:eastAsia="宋体" w:hAnsi="宋体" w:cs="Times New Roman" w:hint="eastAsia"/>
          <w:szCs w:val="21"/>
        </w:rPr>
        <w:t>学业</w:t>
      </w:r>
      <w:r>
        <w:rPr>
          <w:rFonts w:ascii="宋体" w:eastAsia="宋体" w:hAnsi="宋体" w:cs="Times New Roman"/>
          <w:szCs w:val="21"/>
        </w:rPr>
        <w:t>预警工作管理系统也正在积极搭建。</w:t>
      </w:r>
    </w:p>
    <w:p w:rsidR="00721A26" w:rsidRDefault="00721A26" w:rsidP="00721A26">
      <w:pPr>
        <w:spacing w:line="288" w:lineRule="auto"/>
        <w:ind w:firstLineChars="200" w:firstLine="422"/>
        <w:rPr>
          <w:rFonts w:ascii="宋体" w:eastAsia="宋体" w:hAnsi="宋体" w:cs="Times New Roman"/>
          <w:b/>
          <w:szCs w:val="21"/>
        </w:rPr>
      </w:pPr>
      <w:r>
        <w:rPr>
          <w:rFonts w:ascii="宋体" w:eastAsia="宋体" w:hAnsi="宋体" w:cs="Times New Roman" w:hint="eastAsia"/>
          <w:b/>
          <w:szCs w:val="21"/>
        </w:rPr>
        <w:t xml:space="preserve">三、 </w:t>
      </w:r>
      <w:r>
        <w:rPr>
          <w:rFonts w:ascii="宋体" w:eastAsia="宋体" w:hAnsi="宋体" w:cs="Times New Roman"/>
          <w:b/>
          <w:szCs w:val="21"/>
        </w:rPr>
        <w:t>大学生学业预警</w:t>
      </w:r>
      <w:r>
        <w:rPr>
          <w:rFonts w:ascii="宋体" w:eastAsia="宋体" w:hAnsi="宋体" w:cs="Times New Roman" w:hint="eastAsia"/>
          <w:b/>
          <w:szCs w:val="21"/>
        </w:rPr>
        <w:t>数量</w:t>
      </w:r>
      <w:r>
        <w:rPr>
          <w:rFonts w:ascii="宋体" w:eastAsia="宋体" w:hAnsi="宋体" w:cs="Times New Roman"/>
          <w:b/>
          <w:szCs w:val="21"/>
        </w:rPr>
        <w:t>分析</w:t>
      </w:r>
    </w:p>
    <w:p w:rsidR="00721A26" w:rsidRDefault="00721A26" w:rsidP="00721A26">
      <w:pPr>
        <w:spacing w:line="288" w:lineRule="auto"/>
        <w:ind w:firstLineChars="200" w:firstLine="422"/>
        <w:rPr>
          <w:rFonts w:ascii="宋体" w:eastAsia="宋体" w:hAnsi="宋体" w:cs="Times New Roman"/>
          <w:b/>
          <w:szCs w:val="21"/>
        </w:rPr>
      </w:pPr>
      <w:bookmarkStart w:id="8" w:name="_Toc469670939"/>
      <w:bookmarkStart w:id="9" w:name="_Toc450228779"/>
      <w:bookmarkStart w:id="10" w:name="_Toc512593818"/>
      <w:r>
        <w:rPr>
          <w:rFonts w:ascii="宋体" w:eastAsia="宋体" w:hAnsi="宋体" w:cs="Times New Roman" w:hint="eastAsia"/>
          <w:b/>
          <w:szCs w:val="21"/>
        </w:rPr>
        <w:t>（一）全校各期预警概况</w:t>
      </w:r>
      <w:bookmarkEnd w:id="8"/>
      <w:bookmarkEnd w:id="9"/>
      <w:bookmarkEnd w:id="10"/>
    </w:p>
    <w:p w:rsidR="00721A26" w:rsidRDefault="00721A26" w:rsidP="00721A26">
      <w:pPr>
        <w:spacing w:line="288" w:lineRule="auto"/>
        <w:ind w:firstLine="420"/>
        <w:rPr>
          <w:rFonts w:ascii="宋体" w:eastAsia="宋体" w:hAnsi="宋体" w:cs="Times New Roman"/>
          <w:b/>
          <w:szCs w:val="21"/>
        </w:rPr>
      </w:pPr>
      <w:r>
        <w:rPr>
          <w:rFonts w:ascii="宋体" w:eastAsia="宋体" w:hAnsi="宋体" w:cs="Times New Roman" w:hint="eastAsia"/>
          <w:b/>
          <w:szCs w:val="21"/>
        </w:rPr>
        <w:lastRenderedPageBreak/>
        <w:t>1.</w:t>
      </w:r>
      <w:r>
        <w:rPr>
          <w:rFonts w:ascii="Calibri" w:eastAsia="宋体" w:hAnsi="Calibri" w:cs="Times New Roman" w:hint="eastAsia"/>
          <w:szCs w:val="21"/>
        </w:rPr>
        <w:t xml:space="preserve"> </w:t>
      </w:r>
      <w:r>
        <w:rPr>
          <w:rFonts w:ascii="宋体" w:eastAsia="宋体" w:hAnsi="宋体" w:cs="Times New Roman" w:hint="eastAsia"/>
          <w:b/>
          <w:szCs w:val="21"/>
        </w:rPr>
        <w:t>持续预警人数逐年降低、预警程度趋于缓和。</w:t>
      </w:r>
    </w:p>
    <w:p w:rsidR="00721A26" w:rsidRDefault="00721A26" w:rsidP="00721A26">
      <w:pPr>
        <w:keepNext/>
        <w:spacing w:line="288" w:lineRule="auto"/>
        <w:jc w:val="center"/>
        <w:rPr>
          <w:rFonts w:ascii="宋体" w:eastAsia="宋体" w:hAnsi="宋体" w:cs="Times New Roman"/>
          <w:color w:val="000000"/>
          <w:szCs w:val="21"/>
        </w:rPr>
      </w:pPr>
      <w:bookmarkStart w:id="11" w:name="_Toc470366171"/>
      <w:bookmarkStart w:id="12" w:name="_Toc450228819"/>
      <w:bookmarkStart w:id="13" w:name="_Toc464660089"/>
      <w:bookmarkStart w:id="14" w:name="_Toc512593866"/>
      <w:r>
        <w:rPr>
          <w:rFonts w:ascii="宋体" w:eastAsia="宋体" w:hAnsi="宋体" w:cs="Times New Roman" w:hint="eastAsia"/>
          <w:color w:val="000000"/>
          <w:szCs w:val="21"/>
        </w:rPr>
        <w:t>表</w:t>
      </w:r>
      <w:r>
        <w:rPr>
          <w:rFonts w:ascii="宋体" w:eastAsia="宋体" w:hAnsi="宋体" w:cs="Times New Roman"/>
          <w:color w:val="000000"/>
          <w:szCs w:val="21"/>
        </w:rPr>
        <w:t>3</w:t>
      </w:r>
      <w:r>
        <w:rPr>
          <w:rFonts w:ascii="宋体" w:eastAsia="宋体" w:hAnsi="宋体" w:cs="Times New Roman" w:hint="eastAsia"/>
          <w:color w:val="000000"/>
          <w:szCs w:val="21"/>
        </w:rPr>
        <w:t>.</w:t>
      </w:r>
      <w:r>
        <w:rPr>
          <w:rFonts w:ascii="宋体" w:eastAsia="宋体" w:hAnsi="宋体" w:cs="Times New Roman"/>
          <w:color w:val="000000"/>
          <w:szCs w:val="21"/>
        </w:rPr>
        <w:fldChar w:fldCharType="begin"/>
      </w:r>
      <w:r>
        <w:rPr>
          <w:rFonts w:ascii="宋体" w:eastAsia="宋体" w:hAnsi="宋体" w:cs="Times New Roman"/>
          <w:color w:val="000000"/>
          <w:szCs w:val="21"/>
        </w:rPr>
        <w:instrText xml:space="preserve"> </w:instrText>
      </w:r>
      <w:r>
        <w:rPr>
          <w:rFonts w:ascii="宋体" w:eastAsia="宋体" w:hAnsi="宋体" w:cs="Times New Roman" w:hint="eastAsia"/>
          <w:color w:val="000000"/>
          <w:szCs w:val="21"/>
        </w:rPr>
        <w:instrText>SEQ 表2._ \* ARABIC</w:instrText>
      </w:r>
      <w:r>
        <w:rPr>
          <w:rFonts w:ascii="宋体" w:eastAsia="宋体" w:hAnsi="宋体" w:cs="Times New Roman"/>
          <w:color w:val="000000"/>
          <w:szCs w:val="21"/>
        </w:rPr>
        <w:instrText xml:space="preserve"> </w:instrText>
      </w:r>
      <w:r>
        <w:rPr>
          <w:rFonts w:ascii="宋体" w:eastAsia="宋体" w:hAnsi="宋体" w:cs="Times New Roman"/>
          <w:color w:val="000000"/>
          <w:szCs w:val="21"/>
        </w:rPr>
        <w:fldChar w:fldCharType="separate"/>
      </w:r>
      <w:r>
        <w:rPr>
          <w:rFonts w:ascii="宋体" w:eastAsia="宋体" w:hAnsi="宋体" w:cs="Times New Roman"/>
          <w:color w:val="000000"/>
          <w:szCs w:val="21"/>
        </w:rPr>
        <w:t>1</w:t>
      </w:r>
      <w:r>
        <w:rPr>
          <w:rFonts w:ascii="宋体" w:eastAsia="宋体" w:hAnsi="宋体" w:cs="Times New Roman"/>
          <w:color w:val="000000"/>
          <w:szCs w:val="21"/>
        </w:rPr>
        <w:fldChar w:fldCharType="end"/>
      </w:r>
      <w:r>
        <w:rPr>
          <w:rFonts w:ascii="宋体" w:eastAsia="宋体" w:hAnsi="宋体" w:cs="Times New Roman" w:hint="eastAsia"/>
          <w:color w:val="000000"/>
          <w:szCs w:val="21"/>
        </w:rPr>
        <w:t>：全校各学期预警概况</w:t>
      </w:r>
      <w:bookmarkEnd w:id="11"/>
      <w:bookmarkEnd w:id="12"/>
      <w:bookmarkEnd w:id="13"/>
      <w:bookmarkEnd w:id="14"/>
    </w:p>
    <w:tbl>
      <w:tblPr>
        <w:tblW w:w="79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1296"/>
        <w:gridCol w:w="936"/>
        <w:gridCol w:w="1026"/>
        <w:gridCol w:w="1116"/>
        <w:gridCol w:w="1080"/>
      </w:tblGrid>
      <w:tr w:rsidR="00721A26" w:rsidTr="00D90670">
        <w:trPr>
          <w:trHeight w:val="270"/>
          <w:jc w:val="center"/>
        </w:trPr>
        <w:tc>
          <w:tcPr>
            <w:tcW w:w="2520" w:type="dxa"/>
            <w:shd w:val="clear" w:color="auto" w:fill="C6D9F0"/>
            <w:vAlign w:val="center"/>
          </w:tcPr>
          <w:p w:rsidR="00721A26" w:rsidRDefault="00721A26" w:rsidP="00D90670">
            <w:pPr>
              <w:widowControl/>
              <w:spacing w:line="288" w:lineRule="auto"/>
              <w:jc w:val="center"/>
              <w:rPr>
                <w:rFonts w:ascii="宋体" w:eastAsia="宋体" w:hAnsi="宋体" w:cs="宋体"/>
                <w:b/>
                <w:color w:val="000000"/>
                <w:kern w:val="0"/>
                <w:szCs w:val="21"/>
              </w:rPr>
            </w:pPr>
            <w:r>
              <w:rPr>
                <w:rFonts w:ascii="宋体" w:eastAsia="宋体" w:hAnsi="宋体" w:cs="宋体" w:hint="eastAsia"/>
                <w:b/>
                <w:color w:val="000000"/>
                <w:kern w:val="0"/>
                <w:szCs w:val="21"/>
              </w:rPr>
              <w:t>学期</w:t>
            </w:r>
          </w:p>
        </w:tc>
        <w:tc>
          <w:tcPr>
            <w:tcW w:w="1296" w:type="dxa"/>
            <w:shd w:val="clear" w:color="auto" w:fill="C6D9F0"/>
            <w:vAlign w:val="center"/>
          </w:tcPr>
          <w:p w:rsidR="00721A26" w:rsidRDefault="00721A26" w:rsidP="00D90670">
            <w:pPr>
              <w:widowControl/>
              <w:spacing w:line="288" w:lineRule="auto"/>
              <w:jc w:val="center"/>
              <w:rPr>
                <w:rFonts w:ascii="宋体" w:eastAsia="宋体" w:hAnsi="宋体" w:cs="宋体"/>
                <w:b/>
                <w:color w:val="000000"/>
                <w:kern w:val="0"/>
                <w:szCs w:val="21"/>
              </w:rPr>
            </w:pPr>
            <w:r>
              <w:rPr>
                <w:rFonts w:ascii="宋体" w:eastAsia="宋体" w:hAnsi="宋体" w:cs="宋体" w:hint="eastAsia"/>
                <w:b/>
                <w:color w:val="000000"/>
                <w:kern w:val="0"/>
                <w:szCs w:val="21"/>
              </w:rPr>
              <w:t>预警学生（人）</w:t>
            </w:r>
          </w:p>
        </w:tc>
        <w:tc>
          <w:tcPr>
            <w:tcW w:w="936" w:type="dxa"/>
            <w:shd w:val="clear" w:color="auto" w:fill="C6D9F0"/>
            <w:vAlign w:val="center"/>
          </w:tcPr>
          <w:p w:rsidR="00721A26" w:rsidRDefault="00721A26" w:rsidP="00D90670">
            <w:pPr>
              <w:widowControl/>
              <w:spacing w:line="288" w:lineRule="auto"/>
              <w:jc w:val="center"/>
              <w:rPr>
                <w:rFonts w:ascii="宋体" w:eastAsia="宋体" w:hAnsi="宋体" w:cs="宋体"/>
                <w:b/>
                <w:color w:val="000000"/>
                <w:kern w:val="0"/>
                <w:szCs w:val="21"/>
              </w:rPr>
            </w:pPr>
            <w:r>
              <w:rPr>
                <w:rFonts w:ascii="宋体" w:eastAsia="宋体" w:hAnsi="宋体" w:cs="宋体" w:hint="eastAsia"/>
                <w:b/>
                <w:color w:val="000000"/>
                <w:kern w:val="0"/>
                <w:szCs w:val="21"/>
              </w:rPr>
              <w:t>全校</w:t>
            </w:r>
          </w:p>
          <w:p w:rsidR="00721A26" w:rsidRDefault="00721A26" w:rsidP="00D90670">
            <w:pPr>
              <w:widowControl/>
              <w:spacing w:line="288" w:lineRule="auto"/>
              <w:jc w:val="center"/>
              <w:rPr>
                <w:rFonts w:ascii="宋体" w:eastAsia="宋体" w:hAnsi="宋体" w:cs="宋体"/>
                <w:b/>
                <w:color w:val="000000"/>
                <w:kern w:val="0"/>
                <w:szCs w:val="21"/>
              </w:rPr>
            </w:pPr>
            <w:r>
              <w:rPr>
                <w:rFonts w:ascii="宋体" w:eastAsia="宋体" w:hAnsi="宋体" w:cs="宋体" w:hint="eastAsia"/>
                <w:b/>
                <w:color w:val="000000"/>
                <w:kern w:val="0"/>
                <w:szCs w:val="21"/>
              </w:rPr>
              <w:t>比例</w:t>
            </w:r>
          </w:p>
        </w:tc>
        <w:tc>
          <w:tcPr>
            <w:tcW w:w="1026" w:type="dxa"/>
            <w:shd w:val="clear" w:color="auto" w:fill="C6D9F0"/>
            <w:vAlign w:val="center"/>
          </w:tcPr>
          <w:p w:rsidR="00721A26" w:rsidRDefault="00721A26" w:rsidP="00D90670">
            <w:pPr>
              <w:widowControl/>
              <w:spacing w:line="288" w:lineRule="auto"/>
              <w:jc w:val="center"/>
              <w:rPr>
                <w:rFonts w:ascii="宋体" w:eastAsia="宋体" w:hAnsi="宋体" w:cs="宋体"/>
                <w:b/>
                <w:color w:val="000000"/>
                <w:kern w:val="0"/>
                <w:szCs w:val="21"/>
              </w:rPr>
            </w:pPr>
            <w:r>
              <w:rPr>
                <w:rFonts w:ascii="宋体" w:eastAsia="宋体" w:hAnsi="宋体" w:cs="宋体" w:hint="eastAsia"/>
                <w:b/>
                <w:color w:val="000000"/>
                <w:kern w:val="0"/>
                <w:szCs w:val="21"/>
              </w:rPr>
              <w:t>预警学生男女比例</w:t>
            </w:r>
          </w:p>
        </w:tc>
        <w:tc>
          <w:tcPr>
            <w:tcW w:w="1116" w:type="dxa"/>
            <w:shd w:val="clear" w:color="auto" w:fill="C6D9F0"/>
            <w:vAlign w:val="center"/>
          </w:tcPr>
          <w:p w:rsidR="00721A26" w:rsidRDefault="00721A26" w:rsidP="00D90670">
            <w:pPr>
              <w:widowControl/>
              <w:spacing w:line="288" w:lineRule="auto"/>
              <w:jc w:val="center"/>
              <w:rPr>
                <w:rFonts w:ascii="宋体" w:eastAsia="宋体" w:hAnsi="宋体" w:cs="宋体"/>
                <w:b/>
                <w:color w:val="000000"/>
                <w:kern w:val="0"/>
                <w:szCs w:val="21"/>
              </w:rPr>
            </w:pPr>
            <w:r>
              <w:rPr>
                <w:rFonts w:ascii="宋体" w:eastAsia="宋体" w:hAnsi="宋体" w:cs="宋体" w:hint="eastAsia"/>
                <w:b/>
                <w:color w:val="000000"/>
                <w:kern w:val="0"/>
                <w:szCs w:val="21"/>
              </w:rPr>
              <w:t>涉及</w:t>
            </w:r>
          </w:p>
          <w:p w:rsidR="00721A26" w:rsidRDefault="00721A26" w:rsidP="00D90670">
            <w:pPr>
              <w:widowControl/>
              <w:spacing w:line="288" w:lineRule="auto"/>
              <w:jc w:val="center"/>
              <w:rPr>
                <w:rFonts w:ascii="宋体" w:eastAsia="宋体" w:hAnsi="宋体" w:cs="宋体"/>
                <w:b/>
                <w:color w:val="000000"/>
                <w:kern w:val="0"/>
                <w:szCs w:val="21"/>
              </w:rPr>
            </w:pPr>
            <w:r>
              <w:rPr>
                <w:rFonts w:ascii="宋体" w:eastAsia="宋体" w:hAnsi="宋体" w:cs="宋体" w:hint="eastAsia"/>
                <w:b/>
                <w:color w:val="000000"/>
                <w:kern w:val="0"/>
                <w:szCs w:val="21"/>
              </w:rPr>
              <w:t>民族(个)</w:t>
            </w:r>
          </w:p>
        </w:tc>
        <w:tc>
          <w:tcPr>
            <w:tcW w:w="1080" w:type="dxa"/>
            <w:shd w:val="clear" w:color="auto" w:fill="C6D9F0"/>
            <w:vAlign w:val="center"/>
          </w:tcPr>
          <w:p w:rsidR="00721A26" w:rsidRDefault="00721A26" w:rsidP="00D90670">
            <w:pPr>
              <w:widowControl/>
              <w:spacing w:line="288" w:lineRule="auto"/>
              <w:jc w:val="center"/>
              <w:rPr>
                <w:rFonts w:ascii="宋体" w:eastAsia="宋体" w:hAnsi="宋体" w:cs="宋体"/>
                <w:b/>
                <w:color w:val="000000"/>
                <w:kern w:val="0"/>
                <w:szCs w:val="21"/>
              </w:rPr>
            </w:pPr>
            <w:r>
              <w:rPr>
                <w:rFonts w:ascii="宋体" w:eastAsia="宋体" w:hAnsi="宋体" w:cs="宋体" w:hint="eastAsia"/>
                <w:b/>
                <w:color w:val="000000"/>
                <w:kern w:val="0"/>
                <w:szCs w:val="21"/>
              </w:rPr>
              <w:t>预警学生人均门次</w:t>
            </w:r>
          </w:p>
        </w:tc>
      </w:tr>
      <w:tr w:rsidR="00721A26" w:rsidTr="00D90670">
        <w:trPr>
          <w:trHeight w:val="270"/>
          <w:jc w:val="center"/>
        </w:trPr>
        <w:tc>
          <w:tcPr>
            <w:tcW w:w="2520" w:type="dxa"/>
            <w:vAlign w:val="center"/>
          </w:tcPr>
          <w:p w:rsidR="00721A26" w:rsidRDefault="00721A26" w:rsidP="00D90670">
            <w:pPr>
              <w:widowControl/>
              <w:spacing w:line="288"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2014-2015年第一学期</w:t>
            </w:r>
          </w:p>
        </w:tc>
        <w:tc>
          <w:tcPr>
            <w:tcW w:w="1296" w:type="dxa"/>
            <w:vAlign w:val="center"/>
          </w:tcPr>
          <w:p w:rsidR="00721A26" w:rsidRDefault="00721A26" w:rsidP="00D90670">
            <w:pPr>
              <w:widowControl/>
              <w:spacing w:line="288"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2235</w:t>
            </w:r>
          </w:p>
        </w:tc>
        <w:tc>
          <w:tcPr>
            <w:tcW w:w="936" w:type="dxa"/>
            <w:vAlign w:val="center"/>
          </w:tcPr>
          <w:p w:rsidR="00721A26" w:rsidRDefault="00721A26" w:rsidP="00D90670">
            <w:pPr>
              <w:widowControl/>
              <w:spacing w:line="288"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9.</w:t>
            </w:r>
            <w:r>
              <w:rPr>
                <w:rFonts w:ascii="宋体" w:eastAsia="宋体" w:hAnsi="宋体" w:cs="宋体"/>
                <w:color w:val="000000"/>
                <w:kern w:val="0"/>
                <w:szCs w:val="21"/>
              </w:rPr>
              <w:t>22</w:t>
            </w:r>
            <w:r>
              <w:rPr>
                <w:rFonts w:ascii="宋体" w:eastAsia="宋体" w:hAnsi="宋体" w:cs="宋体" w:hint="eastAsia"/>
                <w:color w:val="000000"/>
                <w:kern w:val="0"/>
                <w:szCs w:val="21"/>
              </w:rPr>
              <w:t>%</w:t>
            </w:r>
          </w:p>
        </w:tc>
        <w:tc>
          <w:tcPr>
            <w:tcW w:w="1026" w:type="dxa"/>
            <w:vAlign w:val="center"/>
          </w:tcPr>
          <w:p w:rsidR="00721A26" w:rsidRDefault="00721A26" w:rsidP="00D90670">
            <w:pPr>
              <w:widowControl/>
              <w:spacing w:line="288"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2.18：1</w:t>
            </w:r>
          </w:p>
        </w:tc>
        <w:tc>
          <w:tcPr>
            <w:tcW w:w="1116" w:type="dxa"/>
            <w:vAlign w:val="center"/>
          </w:tcPr>
          <w:p w:rsidR="00721A26" w:rsidRDefault="00721A26" w:rsidP="00D90670">
            <w:pPr>
              <w:widowControl/>
              <w:spacing w:line="288"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47</w:t>
            </w:r>
          </w:p>
        </w:tc>
        <w:tc>
          <w:tcPr>
            <w:tcW w:w="1080" w:type="dxa"/>
            <w:vAlign w:val="center"/>
          </w:tcPr>
          <w:p w:rsidR="00721A26" w:rsidRDefault="00721A26" w:rsidP="00D90670">
            <w:pPr>
              <w:widowControl/>
              <w:spacing w:line="288"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6.18</w:t>
            </w:r>
          </w:p>
        </w:tc>
      </w:tr>
      <w:tr w:rsidR="00721A26" w:rsidTr="00D90670">
        <w:trPr>
          <w:trHeight w:val="270"/>
          <w:jc w:val="center"/>
        </w:trPr>
        <w:tc>
          <w:tcPr>
            <w:tcW w:w="2520" w:type="dxa"/>
            <w:vAlign w:val="center"/>
          </w:tcPr>
          <w:p w:rsidR="00721A26" w:rsidRDefault="00721A26" w:rsidP="00D90670">
            <w:pPr>
              <w:widowControl/>
              <w:spacing w:line="288"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2014-2015年第二学期</w:t>
            </w:r>
          </w:p>
        </w:tc>
        <w:tc>
          <w:tcPr>
            <w:tcW w:w="1296" w:type="dxa"/>
            <w:vAlign w:val="center"/>
          </w:tcPr>
          <w:p w:rsidR="00721A26" w:rsidRDefault="00721A26" w:rsidP="00D90670">
            <w:pPr>
              <w:widowControl/>
              <w:spacing w:line="288"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2400</w:t>
            </w:r>
          </w:p>
        </w:tc>
        <w:tc>
          <w:tcPr>
            <w:tcW w:w="936" w:type="dxa"/>
            <w:vAlign w:val="center"/>
          </w:tcPr>
          <w:p w:rsidR="00721A26" w:rsidRDefault="00721A26" w:rsidP="00D90670">
            <w:pPr>
              <w:widowControl/>
              <w:spacing w:line="288"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9.90%</w:t>
            </w:r>
          </w:p>
        </w:tc>
        <w:tc>
          <w:tcPr>
            <w:tcW w:w="1026" w:type="dxa"/>
            <w:vAlign w:val="center"/>
          </w:tcPr>
          <w:p w:rsidR="00721A26" w:rsidRDefault="00721A26" w:rsidP="00D90670">
            <w:pPr>
              <w:widowControl/>
              <w:spacing w:line="288"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2.73：1</w:t>
            </w:r>
          </w:p>
        </w:tc>
        <w:tc>
          <w:tcPr>
            <w:tcW w:w="1116" w:type="dxa"/>
            <w:vAlign w:val="center"/>
          </w:tcPr>
          <w:p w:rsidR="00721A26" w:rsidRDefault="00721A26" w:rsidP="00D90670">
            <w:pPr>
              <w:widowControl/>
              <w:spacing w:line="288"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51</w:t>
            </w:r>
          </w:p>
        </w:tc>
        <w:tc>
          <w:tcPr>
            <w:tcW w:w="1080" w:type="dxa"/>
            <w:vAlign w:val="center"/>
          </w:tcPr>
          <w:p w:rsidR="00721A26" w:rsidRDefault="00721A26" w:rsidP="00D90670">
            <w:pPr>
              <w:widowControl/>
              <w:spacing w:line="288"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7.03</w:t>
            </w:r>
          </w:p>
        </w:tc>
      </w:tr>
      <w:tr w:rsidR="00721A26" w:rsidTr="00D90670">
        <w:trPr>
          <w:trHeight w:val="270"/>
          <w:jc w:val="center"/>
        </w:trPr>
        <w:tc>
          <w:tcPr>
            <w:tcW w:w="2520" w:type="dxa"/>
            <w:vAlign w:val="center"/>
          </w:tcPr>
          <w:p w:rsidR="00721A26" w:rsidRDefault="00721A26" w:rsidP="00D90670">
            <w:pPr>
              <w:widowControl/>
              <w:spacing w:line="288"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2015-2016年第一学期</w:t>
            </w:r>
          </w:p>
        </w:tc>
        <w:tc>
          <w:tcPr>
            <w:tcW w:w="1296" w:type="dxa"/>
            <w:vAlign w:val="center"/>
          </w:tcPr>
          <w:p w:rsidR="00721A26" w:rsidRDefault="00721A26" w:rsidP="00D90670">
            <w:pPr>
              <w:widowControl/>
              <w:spacing w:line="288"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2524</w:t>
            </w:r>
          </w:p>
        </w:tc>
        <w:tc>
          <w:tcPr>
            <w:tcW w:w="936" w:type="dxa"/>
            <w:vAlign w:val="center"/>
          </w:tcPr>
          <w:p w:rsidR="00721A26" w:rsidRDefault="00721A26" w:rsidP="00D90670">
            <w:pPr>
              <w:widowControl/>
              <w:spacing w:line="288"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10.31%</w:t>
            </w:r>
          </w:p>
        </w:tc>
        <w:tc>
          <w:tcPr>
            <w:tcW w:w="1026" w:type="dxa"/>
            <w:vAlign w:val="center"/>
          </w:tcPr>
          <w:p w:rsidR="00721A26" w:rsidRDefault="00721A26" w:rsidP="00D90670">
            <w:pPr>
              <w:widowControl/>
              <w:spacing w:line="288"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3.16：1</w:t>
            </w:r>
          </w:p>
        </w:tc>
        <w:tc>
          <w:tcPr>
            <w:tcW w:w="1116" w:type="dxa"/>
            <w:vAlign w:val="center"/>
          </w:tcPr>
          <w:p w:rsidR="00721A26" w:rsidRDefault="00721A26" w:rsidP="00D90670">
            <w:pPr>
              <w:widowControl/>
              <w:spacing w:line="288"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48</w:t>
            </w:r>
          </w:p>
        </w:tc>
        <w:tc>
          <w:tcPr>
            <w:tcW w:w="1080" w:type="dxa"/>
            <w:vAlign w:val="center"/>
          </w:tcPr>
          <w:p w:rsidR="00721A26" w:rsidRDefault="00721A26" w:rsidP="00D90670">
            <w:pPr>
              <w:widowControl/>
              <w:spacing w:line="288"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6.60</w:t>
            </w:r>
          </w:p>
        </w:tc>
      </w:tr>
      <w:tr w:rsidR="00721A26" w:rsidTr="00D90670">
        <w:trPr>
          <w:trHeight w:val="270"/>
          <w:jc w:val="center"/>
        </w:trPr>
        <w:tc>
          <w:tcPr>
            <w:tcW w:w="2520" w:type="dxa"/>
            <w:vAlign w:val="center"/>
          </w:tcPr>
          <w:p w:rsidR="00721A26" w:rsidRDefault="00721A26" w:rsidP="00D90670">
            <w:pPr>
              <w:widowControl/>
              <w:spacing w:line="288"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2015-2016年第二学期</w:t>
            </w:r>
          </w:p>
        </w:tc>
        <w:tc>
          <w:tcPr>
            <w:tcW w:w="1296" w:type="dxa"/>
            <w:vAlign w:val="center"/>
          </w:tcPr>
          <w:p w:rsidR="00721A26" w:rsidRDefault="00721A26" w:rsidP="00D90670">
            <w:pPr>
              <w:widowControl/>
              <w:spacing w:line="288"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2052</w:t>
            </w:r>
          </w:p>
        </w:tc>
        <w:tc>
          <w:tcPr>
            <w:tcW w:w="936" w:type="dxa"/>
            <w:vAlign w:val="center"/>
          </w:tcPr>
          <w:p w:rsidR="00721A26" w:rsidRDefault="00721A26" w:rsidP="00D90670">
            <w:pPr>
              <w:widowControl/>
              <w:spacing w:line="288"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11.33%</w:t>
            </w:r>
          </w:p>
        </w:tc>
        <w:tc>
          <w:tcPr>
            <w:tcW w:w="1026" w:type="dxa"/>
            <w:vAlign w:val="center"/>
          </w:tcPr>
          <w:p w:rsidR="00721A26" w:rsidRDefault="00721A26" w:rsidP="00D90670">
            <w:pPr>
              <w:widowControl/>
              <w:spacing w:line="288"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3.01：1</w:t>
            </w:r>
          </w:p>
        </w:tc>
        <w:tc>
          <w:tcPr>
            <w:tcW w:w="1116" w:type="dxa"/>
            <w:vAlign w:val="center"/>
          </w:tcPr>
          <w:p w:rsidR="00721A26" w:rsidRDefault="00721A26" w:rsidP="00D90670">
            <w:pPr>
              <w:widowControl/>
              <w:spacing w:line="288"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48</w:t>
            </w:r>
          </w:p>
        </w:tc>
        <w:tc>
          <w:tcPr>
            <w:tcW w:w="1080" w:type="dxa"/>
            <w:vAlign w:val="center"/>
          </w:tcPr>
          <w:p w:rsidR="00721A26" w:rsidRDefault="00721A26" w:rsidP="00D90670">
            <w:pPr>
              <w:widowControl/>
              <w:spacing w:line="288"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6.08</w:t>
            </w:r>
          </w:p>
        </w:tc>
      </w:tr>
      <w:tr w:rsidR="00721A26" w:rsidTr="00D90670">
        <w:trPr>
          <w:trHeight w:val="270"/>
          <w:jc w:val="center"/>
        </w:trPr>
        <w:tc>
          <w:tcPr>
            <w:tcW w:w="2520" w:type="dxa"/>
            <w:vAlign w:val="center"/>
          </w:tcPr>
          <w:p w:rsidR="00721A26" w:rsidRDefault="00721A26" w:rsidP="00D90670">
            <w:pPr>
              <w:widowControl/>
              <w:spacing w:line="288"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201</w:t>
            </w:r>
            <w:r>
              <w:rPr>
                <w:rFonts w:ascii="宋体" w:eastAsia="宋体" w:hAnsi="宋体" w:cs="宋体"/>
                <w:color w:val="000000"/>
                <w:kern w:val="0"/>
                <w:szCs w:val="21"/>
              </w:rPr>
              <w:t>6</w:t>
            </w:r>
            <w:r>
              <w:rPr>
                <w:rFonts w:ascii="宋体" w:eastAsia="宋体" w:hAnsi="宋体" w:cs="宋体" w:hint="eastAsia"/>
                <w:color w:val="000000"/>
                <w:kern w:val="0"/>
                <w:szCs w:val="21"/>
              </w:rPr>
              <w:t>-201</w:t>
            </w:r>
            <w:r>
              <w:rPr>
                <w:rFonts w:ascii="宋体" w:eastAsia="宋体" w:hAnsi="宋体" w:cs="宋体"/>
                <w:color w:val="000000"/>
                <w:kern w:val="0"/>
                <w:szCs w:val="21"/>
              </w:rPr>
              <w:t>7</w:t>
            </w:r>
            <w:r>
              <w:rPr>
                <w:rFonts w:ascii="宋体" w:eastAsia="宋体" w:hAnsi="宋体" w:cs="宋体" w:hint="eastAsia"/>
                <w:color w:val="000000"/>
                <w:kern w:val="0"/>
                <w:szCs w:val="21"/>
              </w:rPr>
              <w:t>年第一学期</w:t>
            </w:r>
          </w:p>
        </w:tc>
        <w:tc>
          <w:tcPr>
            <w:tcW w:w="1296" w:type="dxa"/>
            <w:vAlign w:val="center"/>
          </w:tcPr>
          <w:p w:rsidR="00721A26" w:rsidRDefault="00721A26" w:rsidP="00D90670">
            <w:pPr>
              <w:widowControl/>
              <w:spacing w:line="288"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2328</w:t>
            </w:r>
          </w:p>
        </w:tc>
        <w:tc>
          <w:tcPr>
            <w:tcW w:w="936" w:type="dxa"/>
            <w:vAlign w:val="center"/>
          </w:tcPr>
          <w:p w:rsidR="00721A26" w:rsidRDefault="00721A26" w:rsidP="00D90670">
            <w:pPr>
              <w:widowControl/>
              <w:spacing w:line="288"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9.71</w:t>
            </w:r>
            <w:r>
              <w:rPr>
                <w:rFonts w:ascii="宋体" w:eastAsia="宋体" w:hAnsi="宋体" w:cs="宋体"/>
                <w:color w:val="000000"/>
                <w:kern w:val="0"/>
                <w:szCs w:val="21"/>
              </w:rPr>
              <w:t>%</w:t>
            </w:r>
          </w:p>
        </w:tc>
        <w:tc>
          <w:tcPr>
            <w:tcW w:w="1026" w:type="dxa"/>
            <w:vAlign w:val="center"/>
          </w:tcPr>
          <w:p w:rsidR="00721A26" w:rsidRDefault="00721A26" w:rsidP="00D90670">
            <w:pPr>
              <w:widowControl/>
              <w:spacing w:line="288"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2.68：1</w:t>
            </w:r>
          </w:p>
        </w:tc>
        <w:tc>
          <w:tcPr>
            <w:tcW w:w="1116" w:type="dxa"/>
            <w:vAlign w:val="center"/>
          </w:tcPr>
          <w:p w:rsidR="00721A26" w:rsidRDefault="00721A26" w:rsidP="00D90670">
            <w:pPr>
              <w:widowControl/>
              <w:spacing w:line="288"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47</w:t>
            </w:r>
          </w:p>
        </w:tc>
        <w:tc>
          <w:tcPr>
            <w:tcW w:w="1080" w:type="dxa"/>
            <w:vAlign w:val="center"/>
          </w:tcPr>
          <w:p w:rsidR="00721A26" w:rsidRDefault="00721A26" w:rsidP="00D90670">
            <w:pPr>
              <w:widowControl/>
              <w:spacing w:line="288"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6.09</w:t>
            </w:r>
          </w:p>
        </w:tc>
      </w:tr>
      <w:tr w:rsidR="00721A26" w:rsidTr="00D90670">
        <w:trPr>
          <w:trHeight w:val="270"/>
          <w:jc w:val="center"/>
        </w:trPr>
        <w:tc>
          <w:tcPr>
            <w:tcW w:w="2520" w:type="dxa"/>
            <w:vAlign w:val="center"/>
          </w:tcPr>
          <w:p w:rsidR="00721A26" w:rsidRDefault="00721A26" w:rsidP="00D90670">
            <w:pPr>
              <w:widowControl/>
              <w:spacing w:line="288"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201</w:t>
            </w:r>
            <w:r>
              <w:rPr>
                <w:rFonts w:ascii="宋体" w:eastAsia="宋体" w:hAnsi="宋体" w:cs="宋体"/>
                <w:color w:val="000000"/>
                <w:kern w:val="0"/>
                <w:szCs w:val="21"/>
              </w:rPr>
              <w:t>6</w:t>
            </w:r>
            <w:r>
              <w:rPr>
                <w:rFonts w:ascii="宋体" w:eastAsia="宋体" w:hAnsi="宋体" w:cs="宋体" w:hint="eastAsia"/>
                <w:color w:val="000000"/>
                <w:kern w:val="0"/>
                <w:szCs w:val="21"/>
              </w:rPr>
              <w:t>-201</w:t>
            </w:r>
            <w:r>
              <w:rPr>
                <w:rFonts w:ascii="宋体" w:eastAsia="宋体" w:hAnsi="宋体" w:cs="宋体"/>
                <w:color w:val="000000"/>
                <w:kern w:val="0"/>
                <w:szCs w:val="21"/>
              </w:rPr>
              <w:t>7</w:t>
            </w:r>
            <w:r>
              <w:rPr>
                <w:rFonts w:ascii="宋体" w:eastAsia="宋体" w:hAnsi="宋体" w:cs="宋体" w:hint="eastAsia"/>
                <w:color w:val="000000"/>
                <w:kern w:val="0"/>
                <w:szCs w:val="21"/>
              </w:rPr>
              <w:t>年第二学期</w:t>
            </w:r>
          </w:p>
        </w:tc>
        <w:tc>
          <w:tcPr>
            <w:tcW w:w="1296" w:type="dxa"/>
            <w:vAlign w:val="center"/>
          </w:tcPr>
          <w:p w:rsidR="00721A26" w:rsidRDefault="00721A26" w:rsidP="00D90670">
            <w:pPr>
              <w:widowControl/>
              <w:spacing w:line="288"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2084</w:t>
            </w:r>
          </w:p>
        </w:tc>
        <w:tc>
          <w:tcPr>
            <w:tcW w:w="936" w:type="dxa"/>
            <w:vAlign w:val="center"/>
          </w:tcPr>
          <w:p w:rsidR="00721A26" w:rsidRDefault="00721A26" w:rsidP="00D90670">
            <w:pPr>
              <w:widowControl/>
              <w:spacing w:line="288"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11.52%</w:t>
            </w:r>
          </w:p>
        </w:tc>
        <w:tc>
          <w:tcPr>
            <w:tcW w:w="1026" w:type="dxa"/>
            <w:vAlign w:val="center"/>
          </w:tcPr>
          <w:p w:rsidR="00721A26" w:rsidRDefault="00721A26" w:rsidP="00D90670">
            <w:pPr>
              <w:widowControl/>
              <w:spacing w:line="288"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2.4</w:t>
            </w:r>
            <w:r>
              <w:rPr>
                <w:rFonts w:ascii="宋体" w:eastAsia="宋体" w:hAnsi="宋体" w:cs="宋体"/>
                <w:color w:val="000000"/>
                <w:kern w:val="0"/>
                <w:szCs w:val="21"/>
              </w:rPr>
              <w:t>2:1</w:t>
            </w:r>
          </w:p>
        </w:tc>
        <w:tc>
          <w:tcPr>
            <w:tcW w:w="1116" w:type="dxa"/>
            <w:vAlign w:val="center"/>
          </w:tcPr>
          <w:p w:rsidR="00721A26" w:rsidRDefault="00721A26" w:rsidP="00D90670">
            <w:pPr>
              <w:widowControl/>
              <w:spacing w:line="288"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50</w:t>
            </w:r>
          </w:p>
        </w:tc>
        <w:tc>
          <w:tcPr>
            <w:tcW w:w="1080" w:type="dxa"/>
            <w:vAlign w:val="center"/>
          </w:tcPr>
          <w:p w:rsidR="00721A26" w:rsidRDefault="00721A26" w:rsidP="00D90670">
            <w:pPr>
              <w:widowControl/>
              <w:spacing w:line="288"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7.14</w:t>
            </w:r>
          </w:p>
        </w:tc>
      </w:tr>
      <w:tr w:rsidR="00721A26" w:rsidTr="00D90670">
        <w:trPr>
          <w:trHeight w:val="270"/>
          <w:jc w:val="center"/>
        </w:trPr>
        <w:tc>
          <w:tcPr>
            <w:tcW w:w="2520" w:type="dxa"/>
            <w:vAlign w:val="center"/>
          </w:tcPr>
          <w:p w:rsidR="00721A26" w:rsidRDefault="00721A26" w:rsidP="00D90670">
            <w:pPr>
              <w:widowControl/>
              <w:spacing w:line="288"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2017-2018年第一学期</w:t>
            </w:r>
          </w:p>
        </w:tc>
        <w:tc>
          <w:tcPr>
            <w:tcW w:w="1296" w:type="dxa"/>
            <w:vAlign w:val="center"/>
          </w:tcPr>
          <w:p w:rsidR="00721A26" w:rsidRDefault="00721A26" w:rsidP="00D90670">
            <w:pPr>
              <w:widowControl/>
              <w:spacing w:line="288"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2057</w:t>
            </w:r>
          </w:p>
        </w:tc>
        <w:tc>
          <w:tcPr>
            <w:tcW w:w="936" w:type="dxa"/>
            <w:vAlign w:val="center"/>
          </w:tcPr>
          <w:p w:rsidR="00721A26" w:rsidRDefault="00721A26" w:rsidP="00D90670">
            <w:pPr>
              <w:widowControl/>
              <w:spacing w:line="288"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8.44</w:t>
            </w:r>
            <w:r>
              <w:rPr>
                <w:rFonts w:ascii="宋体" w:eastAsia="宋体" w:hAnsi="宋体" w:cs="宋体"/>
                <w:color w:val="000000"/>
                <w:kern w:val="0"/>
                <w:szCs w:val="21"/>
              </w:rPr>
              <w:t>%</w:t>
            </w:r>
          </w:p>
        </w:tc>
        <w:tc>
          <w:tcPr>
            <w:tcW w:w="1026" w:type="dxa"/>
            <w:vAlign w:val="center"/>
          </w:tcPr>
          <w:p w:rsidR="00721A26" w:rsidRDefault="00721A26" w:rsidP="00D90670">
            <w:pPr>
              <w:widowControl/>
              <w:spacing w:line="288"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2.50:1</w:t>
            </w:r>
          </w:p>
        </w:tc>
        <w:tc>
          <w:tcPr>
            <w:tcW w:w="1116" w:type="dxa"/>
            <w:vAlign w:val="center"/>
          </w:tcPr>
          <w:p w:rsidR="00721A26" w:rsidRDefault="00721A26" w:rsidP="00D90670">
            <w:pPr>
              <w:widowControl/>
              <w:spacing w:line="288"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49</w:t>
            </w:r>
          </w:p>
        </w:tc>
        <w:tc>
          <w:tcPr>
            <w:tcW w:w="1080" w:type="dxa"/>
            <w:vAlign w:val="center"/>
          </w:tcPr>
          <w:p w:rsidR="00721A26" w:rsidRDefault="00721A26" w:rsidP="00D90670">
            <w:pPr>
              <w:widowControl/>
              <w:spacing w:line="288"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5.90</w:t>
            </w:r>
          </w:p>
        </w:tc>
      </w:tr>
    </w:tbl>
    <w:p w:rsidR="00721A26" w:rsidRDefault="00721A26" w:rsidP="00721A26">
      <w:pPr>
        <w:spacing w:line="288" w:lineRule="auto"/>
        <w:ind w:firstLine="420"/>
        <w:rPr>
          <w:rFonts w:ascii="宋体" w:eastAsia="宋体" w:hAnsi="宋体" w:cs="Times New Roman"/>
          <w:szCs w:val="21"/>
        </w:rPr>
      </w:pPr>
    </w:p>
    <w:p w:rsidR="00721A26" w:rsidRDefault="00721A26" w:rsidP="00721A26">
      <w:pPr>
        <w:spacing w:line="288" w:lineRule="auto"/>
        <w:ind w:firstLine="420"/>
        <w:rPr>
          <w:rFonts w:ascii="宋体" w:eastAsia="宋体" w:hAnsi="宋体" w:cs="Times New Roman"/>
          <w:szCs w:val="21"/>
        </w:rPr>
      </w:pPr>
      <w:r>
        <w:rPr>
          <w:rFonts w:ascii="宋体" w:eastAsia="宋体" w:hAnsi="宋体" w:cs="Times New Roman" w:hint="eastAsia"/>
          <w:szCs w:val="21"/>
        </w:rPr>
        <w:t>自2014-2015学年</w:t>
      </w:r>
      <w:r>
        <w:rPr>
          <w:rFonts w:ascii="宋体" w:eastAsia="宋体" w:hAnsi="宋体" w:cs="Times New Roman"/>
          <w:szCs w:val="21"/>
        </w:rPr>
        <w:t>第一学期</w:t>
      </w:r>
      <w:r>
        <w:rPr>
          <w:rFonts w:ascii="宋体" w:eastAsia="宋体" w:hAnsi="宋体" w:cs="Times New Roman"/>
          <w:szCs w:val="21"/>
          <w:vertAlign w:val="superscript"/>
        </w:rPr>
        <w:footnoteReference w:id="20"/>
      </w:r>
      <w:r>
        <w:rPr>
          <w:rFonts w:ascii="宋体" w:eastAsia="宋体" w:hAnsi="宋体" w:cs="Times New Roman"/>
          <w:szCs w:val="21"/>
        </w:rPr>
        <w:t>，</w:t>
      </w:r>
      <w:r>
        <w:rPr>
          <w:rFonts w:ascii="宋体" w:eastAsia="宋体" w:hAnsi="宋体" w:cs="Times New Roman" w:hint="eastAsia"/>
          <w:szCs w:val="21"/>
        </w:rPr>
        <w:t>我校学业预警已经开展八</w:t>
      </w:r>
      <w:r>
        <w:rPr>
          <w:rFonts w:ascii="宋体" w:eastAsia="宋体" w:hAnsi="宋体" w:cs="Times New Roman"/>
          <w:szCs w:val="21"/>
        </w:rPr>
        <w:t>期，</w:t>
      </w:r>
      <w:r>
        <w:rPr>
          <w:rFonts w:ascii="宋体" w:eastAsia="宋体" w:hAnsi="宋体" w:cs="Times New Roman" w:hint="eastAsia"/>
          <w:szCs w:val="21"/>
        </w:rPr>
        <w:t>共</w:t>
      </w:r>
      <w:r>
        <w:rPr>
          <w:rFonts w:ascii="宋体" w:eastAsia="宋体" w:hAnsi="宋体" w:cs="Times New Roman"/>
          <w:szCs w:val="21"/>
        </w:rPr>
        <w:t>预警</w:t>
      </w:r>
      <w:r>
        <w:rPr>
          <w:rFonts w:ascii="宋体" w:eastAsia="宋体" w:hAnsi="宋体" w:cs="Times New Roman" w:hint="eastAsia"/>
          <w:szCs w:val="21"/>
        </w:rPr>
        <w:t>17608人</w:t>
      </w:r>
      <w:r>
        <w:rPr>
          <w:rFonts w:ascii="宋体" w:eastAsia="宋体" w:hAnsi="宋体" w:cs="Times New Roman"/>
          <w:szCs w:val="21"/>
        </w:rPr>
        <w:t>，</w:t>
      </w:r>
      <w:r>
        <w:rPr>
          <w:rFonts w:ascii="宋体" w:eastAsia="宋体" w:hAnsi="宋体" w:cs="Times New Roman" w:hint="eastAsia"/>
          <w:szCs w:val="21"/>
        </w:rPr>
        <w:t>各期</w:t>
      </w:r>
      <w:r>
        <w:rPr>
          <w:rFonts w:ascii="宋体" w:eastAsia="宋体" w:hAnsi="宋体" w:cs="Times New Roman"/>
          <w:szCs w:val="21"/>
        </w:rPr>
        <w:t>预警</w:t>
      </w:r>
      <w:r>
        <w:rPr>
          <w:rFonts w:ascii="宋体" w:eastAsia="宋体" w:hAnsi="宋体" w:cs="Times New Roman" w:hint="eastAsia"/>
          <w:szCs w:val="21"/>
        </w:rPr>
        <w:t>有所</w:t>
      </w:r>
      <w:r>
        <w:rPr>
          <w:rFonts w:ascii="宋体" w:eastAsia="宋体" w:hAnsi="宋体" w:cs="Times New Roman"/>
          <w:szCs w:val="21"/>
        </w:rPr>
        <w:t>差异</w:t>
      </w:r>
      <w:r>
        <w:rPr>
          <w:rFonts w:ascii="宋体" w:eastAsia="宋体" w:hAnsi="宋体" w:cs="Times New Roman" w:hint="eastAsia"/>
          <w:szCs w:val="21"/>
        </w:rPr>
        <w:t>。预警</w:t>
      </w:r>
      <w:r>
        <w:rPr>
          <w:rFonts w:ascii="宋体" w:eastAsia="宋体" w:hAnsi="宋体" w:cs="Times New Roman"/>
          <w:szCs w:val="21"/>
        </w:rPr>
        <w:t>学生</w:t>
      </w:r>
      <w:r>
        <w:rPr>
          <w:rFonts w:ascii="宋体" w:eastAsia="宋体" w:hAnsi="宋体" w:cs="Times New Roman" w:hint="eastAsia"/>
          <w:szCs w:val="21"/>
        </w:rPr>
        <w:t>人数</w:t>
      </w:r>
      <w:r>
        <w:rPr>
          <w:rFonts w:ascii="宋体" w:eastAsia="宋体" w:hAnsi="宋体" w:cs="Times New Roman"/>
          <w:szCs w:val="21"/>
        </w:rPr>
        <w:t>、男女比例</w:t>
      </w:r>
      <w:r>
        <w:rPr>
          <w:rFonts w:ascii="宋体" w:eastAsia="宋体" w:hAnsi="宋体" w:cs="Times New Roman" w:hint="eastAsia"/>
          <w:szCs w:val="21"/>
        </w:rPr>
        <w:t>、</w:t>
      </w:r>
      <w:r>
        <w:rPr>
          <w:rFonts w:ascii="宋体" w:eastAsia="宋体" w:hAnsi="宋体" w:cs="Times New Roman"/>
          <w:szCs w:val="21"/>
        </w:rPr>
        <w:t>预警</w:t>
      </w:r>
      <w:r>
        <w:rPr>
          <w:rFonts w:ascii="宋体" w:eastAsia="宋体" w:hAnsi="宋体" w:cs="Times New Roman" w:hint="eastAsia"/>
          <w:szCs w:val="21"/>
        </w:rPr>
        <w:t>学生人均</w:t>
      </w:r>
      <w:r>
        <w:rPr>
          <w:rFonts w:ascii="宋体" w:eastAsia="宋体" w:hAnsi="宋体" w:cs="Times New Roman"/>
          <w:szCs w:val="21"/>
        </w:rPr>
        <w:t>不及格成绩</w:t>
      </w:r>
      <w:r>
        <w:rPr>
          <w:rFonts w:ascii="宋体" w:eastAsia="宋体" w:hAnsi="宋体" w:cs="Times New Roman" w:hint="eastAsia"/>
          <w:szCs w:val="21"/>
        </w:rPr>
        <w:t>等有</w:t>
      </w:r>
      <w:r>
        <w:rPr>
          <w:rFonts w:ascii="宋体" w:eastAsia="宋体" w:hAnsi="宋体" w:cs="Times New Roman"/>
          <w:szCs w:val="21"/>
        </w:rPr>
        <w:t>降低趋势。在人数</w:t>
      </w:r>
      <w:r>
        <w:rPr>
          <w:rFonts w:ascii="宋体" w:eastAsia="宋体" w:hAnsi="宋体" w:cs="Times New Roman" w:hint="eastAsia"/>
          <w:szCs w:val="21"/>
        </w:rPr>
        <w:t>、</w:t>
      </w:r>
      <w:r>
        <w:rPr>
          <w:rFonts w:ascii="宋体" w:eastAsia="宋体" w:hAnsi="宋体" w:cs="Times New Roman"/>
          <w:szCs w:val="21"/>
        </w:rPr>
        <w:t>全校占比、人均不及格门次等指标上，上学</w:t>
      </w:r>
      <w:r>
        <w:rPr>
          <w:rFonts w:ascii="宋体" w:eastAsia="宋体" w:hAnsi="宋体" w:cs="Times New Roman" w:hint="eastAsia"/>
          <w:szCs w:val="21"/>
        </w:rPr>
        <w:t>年学业预警</w:t>
      </w:r>
      <w:r>
        <w:rPr>
          <w:rFonts w:ascii="宋体" w:eastAsia="宋体" w:hAnsi="宋体" w:cs="Times New Roman"/>
          <w:szCs w:val="21"/>
        </w:rPr>
        <w:t>情况要好于下学</w:t>
      </w:r>
      <w:r>
        <w:rPr>
          <w:rFonts w:ascii="宋体" w:eastAsia="宋体" w:hAnsi="宋体" w:cs="Times New Roman" w:hint="eastAsia"/>
          <w:szCs w:val="21"/>
        </w:rPr>
        <w:t>年。同期相比预警人数增长趋势明显放缓，如第七期</w:t>
      </w:r>
      <w:r>
        <w:rPr>
          <w:rFonts w:ascii="宋体" w:eastAsia="宋体" w:hAnsi="宋体" w:cs="Times New Roman"/>
          <w:szCs w:val="21"/>
        </w:rPr>
        <w:t>（2017-2018年第一学期）</w:t>
      </w:r>
      <w:r>
        <w:rPr>
          <w:rFonts w:ascii="宋体" w:eastAsia="宋体" w:hAnsi="宋体" w:cs="Times New Roman" w:hint="eastAsia"/>
          <w:szCs w:val="21"/>
        </w:rPr>
        <w:t>同比</w:t>
      </w:r>
      <w:r>
        <w:rPr>
          <w:rFonts w:ascii="宋体" w:eastAsia="宋体" w:hAnsi="宋体" w:cs="Times New Roman"/>
          <w:szCs w:val="21"/>
        </w:rPr>
        <w:t>第五期</w:t>
      </w:r>
      <w:r>
        <w:rPr>
          <w:rFonts w:ascii="宋体" w:eastAsia="宋体" w:hAnsi="宋体" w:cs="Times New Roman" w:hint="eastAsia"/>
          <w:szCs w:val="21"/>
        </w:rPr>
        <w:t>（</w:t>
      </w:r>
      <w:r>
        <w:rPr>
          <w:rFonts w:ascii="宋体" w:eastAsia="宋体" w:hAnsi="宋体" w:cs="Times New Roman"/>
          <w:szCs w:val="21"/>
        </w:rPr>
        <w:t>2016-2017年第一学期）</w:t>
      </w:r>
      <w:r>
        <w:rPr>
          <w:rFonts w:ascii="宋体" w:eastAsia="宋体" w:hAnsi="宋体" w:cs="Times New Roman" w:hint="eastAsia"/>
          <w:szCs w:val="21"/>
        </w:rPr>
        <w:t>下降11.64</w:t>
      </w:r>
      <w:r>
        <w:rPr>
          <w:rFonts w:ascii="宋体" w:eastAsia="宋体" w:hAnsi="宋体" w:cs="Times New Roman"/>
          <w:szCs w:val="21"/>
        </w:rPr>
        <w:t>%，</w:t>
      </w:r>
      <w:r>
        <w:rPr>
          <w:rFonts w:ascii="宋体" w:eastAsia="宋体" w:hAnsi="宋体" w:cs="Times New Roman" w:hint="eastAsia"/>
          <w:szCs w:val="21"/>
        </w:rPr>
        <w:t>如第六期</w:t>
      </w:r>
      <w:r>
        <w:rPr>
          <w:rFonts w:ascii="宋体" w:eastAsia="宋体" w:hAnsi="宋体" w:cs="Times New Roman"/>
          <w:szCs w:val="21"/>
        </w:rPr>
        <w:t>（2016-2017年第</w:t>
      </w:r>
      <w:r>
        <w:rPr>
          <w:rFonts w:ascii="宋体" w:eastAsia="宋体" w:hAnsi="宋体" w:cs="Times New Roman" w:hint="eastAsia"/>
          <w:szCs w:val="21"/>
        </w:rPr>
        <w:t>二</w:t>
      </w:r>
      <w:r>
        <w:rPr>
          <w:rFonts w:ascii="宋体" w:eastAsia="宋体" w:hAnsi="宋体" w:cs="Times New Roman"/>
          <w:szCs w:val="21"/>
        </w:rPr>
        <w:t>学期）</w:t>
      </w:r>
      <w:r>
        <w:rPr>
          <w:rFonts w:ascii="宋体" w:eastAsia="宋体" w:hAnsi="宋体" w:cs="Times New Roman" w:hint="eastAsia"/>
          <w:szCs w:val="21"/>
        </w:rPr>
        <w:t>同比</w:t>
      </w:r>
      <w:r>
        <w:rPr>
          <w:rFonts w:ascii="宋体" w:eastAsia="宋体" w:hAnsi="宋体" w:cs="Times New Roman"/>
          <w:szCs w:val="21"/>
        </w:rPr>
        <w:t>第</w:t>
      </w:r>
      <w:r>
        <w:rPr>
          <w:rFonts w:ascii="宋体" w:eastAsia="宋体" w:hAnsi="宋体" w:cs="Times New Roman" w:hint="eastAsia"/>
          <w:szCs w:val="21"/>
        </w:rPr>
        <w:t>四</w:t>
      </w:r>
      <w:r>
        <w:rPr>
          <w:rFonts w:ascii="宋体" w:eastAsia="宋体" w:hAnsi="宋体" w:cs="Times New Roman"/>
          <w:szCs w:val="21"/>
        </w:rPr>
        <w:t>期</w:t>
      </w:r>
      <w:r>
        <w:rPr>
          <w:rFonts w:ascii="宋体" w:eastAsia="宋体" w:hAnsi="宋体" w:cs="Times New Roman" w:hint="eastAsia"/>
          <w:szCs w:val="21"/>
        </w:rPr>
        <w:t>（</w:t>
      </w:r>
      <w:r>
        <w:rPr>
          <w:rFonts w:ascii="宋体" w:eastAsia="宋体" w:hAnsi="宋体" w:cs="Times New Roman"/>
          <w:szCs w:val="21"/>
        </w:rPr>
        <w:t>2015-2016年第</w:t>
      </w:r>
      <w:r>
        <w:rPr>
          <w:rFonts w:ascii="宋体" w:eastAsia="宋体" w:hAnsi="宋体" w:cs="Times New Roman" w:hint="eastAsia"/>
          <w:szCs w:val="21"/>
        </w:rPr>
        <w:t>二</w:t>
      </w:r>
      <w:r>
        <w:rPr>
          <w:rFonts w:ascii="宋体" w:eastAsia="宋体" w:hAnsi="宋体" w:cs="Times New Roman"/>
          <w:szCs w:val="21"/>
        </w:rPr>
        <w:t>学期）</w:t>
      </w:r>
      <w:r>
        <w:rPr>
          <w:rFonts w:ascii="宋体" w:eastAsia="宋体" w:hAnsi="宋体" w:cs="Times New Roman" w:hint="eastAsia"/>
          <w:szCs w:val="21"/>
        </w:rPr>
        <w:t>微量增加1.56</w:t>
      </w:r>
      <w:r>
        <w:rPr>
          <w:rFonts w:ascii="宋体" w:eastAsia="宋体" w:hAnsi="宋体" w:cs="Times New Roman"/>
          <w:szCs w:val="21"/>
        </w:rPr>
        <w:t>%</w:t>
      </w:r>
      <w:r>
        <w:rPr>
          <w:rFonts w:ascii="宋体" w:eastAsia="宋体" w:hAnsi="宋体" w:cs="Times New Roman" w:hint="eastAsia"/>
          <w:szCs w:val="21"/>
        </w:rPr>
        <w:t>。</w:t>
      </w:r>
    </w:p>
    <w:p w:rsidR="00721A26" w:rsidRDefault="00721A26" w:rsidP="00721A26">
      <w:pPr>
        <w:spacing w:line="288" w:lineRule="auto"/>
        <w:ind w:firstLineChars="200" w:firstLine="422"/>
        <w:rPr>
          <w:rFonts w:ascii="宋体" w:eastAsia="宋体" w:hAnsi="宋体" w:cs="Times New Roman"/>
          <w:b/>
          <w:color w:val="000000"/>
          <w:szCs w:val="21"/>
        </w:rPr>
      </w:pPr>
      <w:r>
        <w:rPr>
          <w:rFonts w:ascii="宋体" w:eastAsia="宋体" w:hAnsi="宋体" w:cs="Times New Roman"/>
          <w:b/>
          <w:color w:val="000000"/>
          <w:szCs w:val="21"/>
        </w:rPr>
        <w:t>2</w:t>
      </w:r>
      <w:r>
        <w:rPr>
          <w:rFonts w:ascii="宋体" w:eastAsia="宋体" w:hAnsi="宋体" w:cs="Times New Roman" w:hint="eastAsia"/>
          <w:b/>
          <w:color w:val="000000"/>
          <w:szCs w:val="21"/>
        </w:rPr>
        <w:t>.</w:t>
      </w:r>
      <w:r>
        <w:rPr>
          <w:rFonts w:ascii="Calibri" w:eastAsia="宋体" w:hAnsi="Calibri" w:cs="Times New Roman" w:hint="eastAsia"/>
          <w:szCs w:val="21"/>
        </w:rPr>
        <w:t xml:space="preserve"> </w:t>
      </w:r>
      <w:r>
        <w:rPr>
          <w:rFonts w:ascii="宋体" w:eastAsia="宋体" w:hAnsi="宋体" w:cs="Times New Roman" w:hint="eastAsia"/>
          <w:b/>
          <w:color w:val="000000"/>
          <w:szCs w:val="21"/>
        </w:rPr>
        <w:t>各年级预警学生组成比例基本稳定，帮扶效果明显。</w:t>
      </w:r>
    </w:p>
    <w:p w:rsidR="00721A26" w:rsidRDefault="00721A26" w:rsidP="00721A26">
      <w:pPr>
        <w:spacing w:line="288" w:lineRule="auto"/>
        <w:rPr>
          <w:rFonts w:ascii="Calibri" w:eastAsia="宋体" w:hAnsi="Calibri" w:cs="Times New Roman"/>
          <w:szCs w:val="21"/>
        </w:rPr>
      </w:pPr>
    </w:p>
    <w:p w:rsidR="00721A26" w:rsidRDefault="00721A26" w:rsidP="00721A26">
      <w:pPr>
        <w:spacing w:line="288" w:lineRule="auto"/>
        <w:rPr>
          <w:rFonts w:ascii="Calibri" w:eastAsia="宋体" w:hAnsi="Calibri" w:cs="Times New Roman"/>
          <w:szCs w:val="21"/>
        </w:rPr>
      </w:pPr>
      <w:r>
        <w:rPr>
          <w:rFonts w:ascii="宋体" w:eastAsia="宋体" w:hAnsi="宋体" w:cs="Times New Roman"/>
          <w:noProof/>
          <w:color w:val="000000"/>
          <w:szCs w:val="21"/>
        </w:rPr>
        <w:drawing>
          <wp:inline distT="0" distB="0" distL="0" distR="0" wp14:anchorId="3B83DA80" wp14:editId="4C623924">
            <wp:extent cx="5334000" cy="1999615"/>
            <wp:effectExtent l="0" t="0" r="0" b="635"/>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334000" cy="1999615"/>
                    </a:xfrm>
                    <a:prstGeom prst="rect">
                      <a:avLst/>
                    </a:prstGeom>
                    <a:noFill/>
                    <a:ln>
                      <a:noFill/>
                    </a:ln>
                  </pic:spPr>
                </pic:pic>
              </a:graphicData>
            </a:graphic>
          </wp:inline>
        </w:drawing>
      </w:r>
    </w:p>
    <w:p w:rsidR="00721A26" w:rsidRDefault="00721A26" w:rsidP="00721A26">
      <w:pPr>
        <w:spacing w:line="288" w:lineRule="auto"/>
        <w:jc w:val="center"/>
        <w:rPr>
          <w:rFonts w:ascii="Arial" w:eastAsia="黑体" w:hAnsi="Arial" w:cs="Times New Roman"/>
          <w:szCs w:val="21"/>
        </w:rPr>
      </w:pPr>
      <w:r>
        <w:rPr>
          <w:rFonts w:ascii="宋体" w:eastAsia="宋体" w:hAnsi="宋体" w:cs="Times New Roman" w:hint="eastAsia"/>
          <w:color w:val="000000"/>
          <w:szCs w:val="21"/>
        </w:rPr>
        <w:t>图</w:t>
      </w:r>
      <w:r>
        <w:rPr>
          <w:rFonts w:ascii="宋体" w:eastAsia="宋体" w:hAnsi="宋体" w:cs="Times New Roman"/>
          <w:color w:val="000000"/>
          <w:szCs w:val="21"/>
        </w:rPr>
        <w:t>3</w:t>
      </w:r>
      <w:r>
        <w:rPr>
          <w:rFonts w:ascii="宋体" w:eastAsia="宋体" w:hAnsi="宋体" w:cs="Times New Roman" w:hint="eastAsia"/>
          <w:color w:val="000000"/>
          <w:szCs w:val="21"/>
        </w:rPr>
        <w:t xml:space="preserve">. </w:t>
      </w:r>
      <w:r>
        <w:rPr>
          <w:rFonts w:ascii="宋体" w:eastAsia="宋体" w:hAnsi="宋体" w:cs="Times New Roman"/>
          <w:color w:val="000000"/>
          <w:szCs w:val="21"/>
        </w:rPr>
        <w:t>1</w:t>
      </w:r>
      <w:r>
        <w:rPr>
          <w:rFonts w:ascii="宋体" w:eastAsia="宋体" w:hAnsi="宋体" w:cs="Times New Roman" w:hint="eastAsia"/>
          <w:color w:val="000000"/>
          <w:szCs w:val="21"/>
        </w:rPr>
        <w:t>：各学期预警学生上学年年级组成分布（预警学生）</w:t>
      </w:r>
    </w:p>
    <w:p w:rsidR="00721A26" w:rsidRDefault="00721A26" w:rsidP="00721A26">
      <w:pPr>
        <w:spacing w:line="288" w:lineRule="auto"/>
        <w:rPr>
          <w:rFonts w:ascii="Calibri" w:eastAsia="宋体" w:hAnsi="Calibri" w:cs="Times New Roman"/>
          <w:szCs w:val="21"/>
        </w:rPr>
      </w:pPr>
    </w:p>
    <w:p w:rsidR="00721A26" w:rsidRDefault="00721A26" w:rsidP="00721A26">
      <w:pPr>
        <w:spacing w:line="288" w:lineRule="auto"/>
        <w:rPr>
          <w:rFonts w:ascii="Calibri" w:eastAsia="宋体" w:hAnsi="Calibri" w:cs="Times New Roman"/>
          <w:szCs w:val="21"/>
        </w:rPr>
      </w:pPr>
    </w:p>
    <w:p w:rsidR="00721A26" w:rsidRDefault="00721A26" w:rsidP="00721A26">
      <w:pPr>
        <w:spacing w:line="288" w:lineRule="auto"/>
        <w:jc w:val="center"/>
        <w:rPr>
          <w:rFonts w:ascii="宋体" w:eastAsia="宋体" w:hAnsi="宋体" w:cs="Times New Roman"/>
          <w:color w:val="000000"/>
          <w:szCs w:val="21"/>
        </w:rPr>
      </w:pPr>
      <w:bookmarkStart w:id="15" w:name="_Toc512593885"/>
      <w:r>
        <w:rPr>
          <w:rFonts w:ascii="宋体" w:eastAsia="宋体" w:hAnsi="宋体" w:cs="Times New Roman"/>
          <w:noProof/>
          <w:color w:val="000000"/>
          <w:szCs w:val="21"/>
        </w:rPr>
        <w:drawing>
          <wp:anchor distT="0" distB="0" distL="114300" distR="114300" simplePos="0" relativeHeight="251669504" behindDoc="0" locked="0" layoutInCell="1" allowOverlap="1" wp14:anchorId="6F36EF58" wp14:editId="2988F7EF">
            <wp:simplePos x="0" y="0"/>
            <wp:positionH relativeFrom="column">
              <wp:posOffset>114300</wp:posOffset>
            </wp:positionH>
            <wp:positionV relativeFrom="paragraph">
              <wp:posOffset>238125</wp:posOffset>
            </wp:positionV>
            <wp:extent cx="5149215" cy="2009775"/>
            <wp:effectExtent l="0" t="0" r="13335" b="9525"/>
            <wp:wrapTopAndBottom/>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149215" cy="2009775"/>
                    </a:xfrm>
                    <a:prstGeom prst="rect">
                      <a:avLst/>
                    </a:prstGeom>
                    <a:noFill/>
                    <a:ln>
                      <a:noFill/>
                    </a:ln>
                  </pic:spPr>
                </pic:pic>
              </a:graphicData>
            </a:graphic>
          </wp:anchor>
        </w:drawing>
      </w:r>
      <w:r>
        <w:rPr>
          <w:rFonts w:ascii="宋体" w:eastAsia="宋体" w:hAnsi="宋体" w:cs="Times New Roman" w:hint="eastAsia"/>
          <w:color w:val="000000"/>
          <w:szCs w:val="21"/>
        </w:rPr>
        <w:t>图</w:t>
      </w:r>
      <w:r>
        <w:rPr>
          <w:rFonts w:ascii="宋体" w:eastAsia="宋体" w:hAnsi="宋体" w:cs="Times New Roman"/>
          <w:color w:val="000000"/>
          <w:szCs w:val="21"/>
        </w:rPr>
        <w:t>3</w:t>
      </w:r>
      <w:r>
        <w:rPr>
          <w:rFonts w:ascii="宋体" w:eastAsia="宋体" w:hAnsi="宋体" w:cs="Times New Roman" w:hint="eastAsia"/>
          <w:color w:val="000000"/>
          <w:szCs w:val="21"/>
        </w:rPr>
        <w:t>.</w:t>
      </w:r>
      <w:r>
        <w:rPr>
          <w:rFonts w:ascii="宋体" w:eastAsia="宋体" w:hAnsi="宋体" w:cs="Times New Roman"/>
          <w:color w:val="000000"/>
          <w:szCs w:val="21"/>
        </w:rPr>
        <w:t>2</w:t>
      </w:r>
      <w:r>
        <w:rPr>
          <w:rFonts w:ascii="宋体" w:eastAsia="宋体" w:hAnsi="宋体" w:cs="Times New Roman" w:hint="eastAsia"/>
          <w:color w:val="000000"/>
          <w:szCs w:val="21"/>
        </w:rPr>
        <w:t>：各学期预警学生下学年年级组成分布（预警学生）</w:t>
      </w:r>
      <w:bookmarkEnd w:id="15"/>
    </w:p>
    <w:p w:rsidR="00721A26" w:rsidRDefault="00721A26" w:rsidP="00721A26">
      <w:pPr>
        <w:spacing w:line="288" w:lineRule="auto"/>
        <w:rPr>
          <w:rFonts w:ascii="Calibri" w:eastAsia="宋体" w:hAnsi="Calibri" w:cs="Times New Roman"/>
          <w:szCs w:val="21"/>
        </w:rPr>
      </w:pPr>
    </w:p>
    <w:p w:rsidR="00721A26" w:rsidRDefault="00721A26" w:rsidP="00721A26">
      <w:pPr>
        <w:spacing w:line="288" w:lineRule="auto"/>
        <w:ind w:firstLineChars="200" w:firstLine="420"/>
        <w:rPr>
          <w:rFonts w:ascii="宋体" w:eastAsia="宋体" w:hAnsi="宋体" w:cs="Times New Roman"/>
          <w:color w:val="000000"/>
          <w:szCs w:val="21"/>
        </w:rPr>
      </w:pPr>
      <w:r>
        <w:rPr>
          <w:rFonts w:ascii="宋体" w:eastAsia="宋体" w:hAnsi="宋体" w:cs="Times New Roman"/>
          <w:color w:val="000000"/>
          <w:szCs w:val="21"/>
        </w:rPr>
        <w:t>各年级预警学生组成比例</w:t>
      </w:r>
      <w:r>
        <w:rPr>
          <w:rFonts w:ascii="宋体" w:eastAsia="宋体" w:hAnsi="宋体" w:cs="Times New Roman" w:hint="eastAsia"/>
          <w:color w:val="000000"/>
          <w:szCs w:val="21"/>
        </w:rPr>
        <w:t>基本</w:t>
      </w:r>
      <w:r>
        <w:rPr>
          <w:rFonts w:ascii="宋体" w:eastAsia="宋体" w:hAnsi="宋体" w:cs="Times New Roman"/>
          <w:color w:val="000000"/>
          <w:szCs w:val="21"/>
        </w:rPr>
        <w:t>稳定，帮扶效果明显。</w:t>
      </w:r>
      <w:r>
        <w:rPr>
          <w:rFonts w:ascii="宋体" w:eastAsia="宋体" w:hAnsi="宋体" w:cs="Times New Roman" w:hint="eastAsia"/>
          <w:color w:val="000000"/>
          <w:szCs w:val="21"/>
        </w:rPr>
        <w:t>如图</w:t>
      </w:r>
      <w:r>
        <w:rPr>
          <w:rFonts w:ascii="宋体" w:eastAsia="宋体" w:hAnsi="宋体" w:cs="Times New Roman"/>
          <w:color w:val="000000"/>
          <w:szCs w:val="21"/>
        </w:rPr>
        <w:t>3</w:t>
      </w:r>
      <w:r>
        <w:rPr>
          <w:rFonts w:ascii="宋体" w:eastAsia="宋体" w:hAnsi="宋体" w:cs="Times New Roman" w:hint="eastAsia"/>
          <w:color w:val="000000"/>
          <w:szCs w:val="21"/>
        </w:rPr>
        <w:t>.</w:t>
      </w:r>
      <w:r>
        <w:rPr>
          <w:rFonts w:ascii="宋体" w:eastAsia="宋体" w:hAnsi="宋体" w:cs="Times New Roman"/>
          <w:color w:val="000000"/>
          <w:szCs w:val="21"/>
        </w:rPr>
        <w:t>1-3.2</w:t>
      </w:r>
      <w:r>
        <w:rPr>
          <w:rFonts w:ascii="宋体" w:eastAsia="宋体" w:hAnsi="宋体" w:cs="Times New Roman" w:hint="eastAsia"/>
          <w:color w:val="000000"/>
          <w:szCs w:val="21"/>
        </w:rPr>
        <w:t>所示</w:t>
      </w:r>
      <w:r>
        <w:rPr>
          <w:rFonts w:ascii="宋体" w:eastAsia="宋体" w:hAnsi="宋体" w:cs="Times New Roman"/>
          <w:color w:val="000000"/>
          <w:szCs w:val="21"/>
        </w:rPr>
        <w:t>，</w:t>
      </w:r>
      <w:r>
        <w:rPr>
          <w:rFonts w:ascii="宋体" w:eastAsia="宋体" w:hAnsi="宋体" w:cs="Times New Roman" w:hint="eastAsia"/>
          <w:color w:val="000000"/>
          <w:szCs w:val="21"/>
        </w:rPr>
        <w:t>第七</w:t>
      </w:r>
      <w:r>
        <w:rPr>
          <w:rFonts w:ascii="宋体" w:eastAsia="宋体" w:hAnsi="宋体" w:cs="Times New Roman"/>
          <w:color w:val="000000"/>
          <w:szCs w:val="21"/>
        </w:rPr>
        <w:t>期</w:t>
      </w:r>
      <w:r>
        <w:rPr>
          <w:rFonts w:ascii="宋体" w:eastAsia="宋体" w:hAnsi="宋体" w:cs="Times New Roman" w:hint="eastAsia"/>
          <w:color w:val="000000"/>
          <w:szCs w:val="21"/>
        </w:rPr>
        <w:t>各年级组成</w:t>
      </w:r>
      <w:r>
        <w:rPr>
          <w:rFonts w:ascii="宋体" w:eastAsia="宋体" w:hAnsi="宋体" w:cs="Times New Roman"/>
          <w:color w:val="000000"/>
          <w:szCs w:val="21"/>
        </w:rPr>
        <w:t>分布（</w:t>
      </w:r>
      <w:r>
        <w:rPr>
          <w:rFonts w:ascii="宋体" w:eastAsia="宋体" w:hAnsi="宋体" w:cs="Times New Roman" w:hint="eastAsia"/>
          <w:color w:val="000000"/>
          <w:szCs w:val="21"/>
        </w:rPr>
        <w:t>预警</w:t>
      </w:r>
      <w:r>
        <w:rPr>
          <w:rFonts w:ascii="宋体" w:eastAsia="宋体" w:hAnsi="宋体" w:cs="Times New Roman"/>
          <w:color w:val="000000"/>
          <w:szCs w:val="21"/>
        </w:rPr>
        <w:t>学生）</w:t>
      </w:r>
      <w:r>
        <w:rPr>
          <w:rFonts w:ascii="宋体" w:eastAsia="宋体" w:hAnsi="宋体" w:cs="Times New Roman" w:hint="eastAsia"/>
          <w:color w:val="000000"/>
          <w:szCs w:val="21"/>
        </w:rPr>
        <w:t>，与上一学年</w:t>
      </w:r>
      <w:r>
        <w:rPr>
          <w:rFonts w:ascii="宋体" w:eastAsia="宋体" w:hAnsi="宋体" w:cs="Times New Roman"/>
          <w:color w:val="000000"/>
          <w:szCs w:val="21"/>
        </w:rPr>
        <w:t>大致</w:t>
      </w:r>
      <w:r>
        <w:rPr>
          <w:rFonts w:ascii="宋体" w:eastAsia="宋体" w:hAnsi="宋体" w:cs="Times New Roman" w:hint="eastAsia"/>
          <w:color w:val="000000"/>
          <w:szCs w:val="21"/>
        </w:rPr>
        <w:t>相当</w:t>
      </w:r>
      <w:r>
        <w:rPr>
          <w:rFonts w:ascii="宋体" w:eastAsia="宋体" w:hAnsi="宋体" w:cs="Times New Roman"/>
          <w:color w:val="000000"/>
          <w:szCs w:val="21"/>
        </w:rPr>
        <w:t>。</w:t>
      </w:r>
      <w:r>
        <w:rPr>
          <w:rFonts w:ascii="宋体" w:eastAsia="宋体" w:hAnsi="宋体" w:cs="Times New Roman" w:hint="eastAsia"/>
          <w:color w:val="000000"/>
          <w:szCs w:val="21"/>
        </w:rPr>
        <w:t>大二、大三预警</w:t>
      </w:r>
      <w:r>
        <w:rPr>
          <w:rFonts w:ascii="宋体" w:eastAsia="宋体" w:hAnsi="宋体" w:cs="Times New Roman"/>
          <w:color w:val="000000"/>
          <w:szCs w:val="21"/>
        </w:rPr>
        <w:t>人数占比趋于平稳</w:t>
      </w:r>
      <w:r>
        <w:rPr>
          <w:rFonts w:ascii="宋体" w:eastAsia="宋体" w:hAnsi="宋体" w:cs="Times New Roman" w:hint="eastAsia"/>
          <w:color w:val="000000"/>
          <w:szCs w:val="21"/>
        </w:rPr>
        <w:t>，</w:t>
      </w:r>
      <w:r>
        <w:rPr>
          <w:rFonts w:ascii="宋体" w:eastAsia="宋体" w:hAnsi="宋体" w:cs="Times New Roman"/>
          <w:color w:val="000000"/>
          <w:szCs w:val="21"/>
        </w:rPr>
        <w:t>各占近</w:t>
      </w:r>
      <w:r>
        <w:rPr>
          <w:rFonts w:ascii="宋体" w:eastAsia="宋体" w:hAnsi="宋体" w:cs="Times New Roman" w:hint="eastAsia"/>
          <w:color w:val="000000"/>
          <w:szCs w:val="21"/>
        </w:rPr>
        <w:t>30</w:t>
      </w:r>
      <w:r>
        <w:rPr>
          <w:rFonts w:ascii="宋体" w:eastAsia="宋体" w:hAnsi="宋体" w:cs="Times New Roman"/>
          <w:color w:val="000000"/>
          <w:szCs w:val="21"/>
        </w:rPr>
        <w:t>%，大一新生预警比例略微升高，大四年级预警比例略微下降，学业帮扶成效显著。</w:t>
      </w:r>
      <w:bookmarkStart w:id="16" w:name="_Toc450228831"/>
      <w:bookmarkStart w:id="17" w:name="_Toc469662527"/>
      <w:bookmarkStart w:id="18" w:name="_Toc448822896"/>
    </w:p>
    <w:p w:rsidR="00721A26" w:rsidRDefault="00721A26" w:rsidP="00721A26">
      <w:pPr>
        <w:spacing w:line="288" w:lineRule="auto"/>
        <w:ind w:firstLineChars="200" w:firstLine="420"/>
        <w:rPr>
          <w:rFonts w:ascii="宋体" w:eastAsia="宋体" w:hAnsi="宋体" w:cs="Times New Roman"/>
          <w:color w:val="000000"/>
          <w:szCs w:val="21"/>
        </w:rPr>
      </w:pPr>
      <w:r>
        <w:rPr>
          <w:rFonts w:ascii="宋体" w:eastAsia="宋体" w:hAnsi="宋体" w:cs="Times New Roman" w:hint="eastAsia"/>
          <w:color w:val="000000"/>
          <w:szCs w:val="21"/>
        </w:rPr>
        <w:t>学业</w:t>
      </w:r>
      <w:r>
        <w:rPr>
          <w:rFonts w:ascii="宋体" w:eastAsia="宋体" w:hAnsi="宋体" w:cs="Times New Roman"/>
          <w:color w:val="000000"/>
          <w:szCs w:val="21"/>
        </w:rPr>
        <w:t>预警</w:t>
      </w:r>
      <w:r>
        <w:rPr>
          <w:rFonts w:ascii="宋体" w:eastAsia="宋体" w:hAnsi="宋体" w:cs="Times New Roman" w:hint="eastAsia"/>
          <w:color w:val="000000"/>
          <w:szCs w:val="21"/>
        </w:rPr>
        <w:t>学生人数</w:t>
      </w:r>
      <w:r>
        <w:rPr>
          <w:rFonts w:ascii="宋体" w:eastAsia="宋体" w:hAnsi="宋体" w:cs="Times New Roman"/>
          <w:color w:val="000000"/>
          <w:szCs w:val="21"/>
        </w:rPr>
        <w:t>在大二下学年得到一定控制，各年级预警学生组成比例</w:t>
      </w:r>
      <w:r>
        <w:rPr>
          <w:rFonts w:ascii="宋体" w:eastAsia="宋体" w:hAnsi="宋体" w:cs="Times New Roman" w:hint="eastAsia"/>
          <w:color w:val="000000"/>
          <w:szCs w:val="21"/>
        </w:rPr>
        <w:t>逐渐</w:t>
      </w:r>
      <w:r>
        <w:rPr>
          <w:rFonts w:ascii="宋体" w:eastAsia="宋体" w:hAnsi="宋体" w:cs="Times New Roman"/>
          <w:color w:val="000000"/>
          <w:szCs w:val="21"/>
        </w:rPr>
        <w:t>稳定，帮扶效果明显。</w:t>
      </w:r>
      <w:r>
        <w:rPr>
          <w:rFonts w:ascii="宋体" w:eastAsia="宋体" w:hAnsi="宋体" w:cs="Times New Roman" w:hint="eastAsia"/>
          <w:color w:val="000000"/>
          <w:szCs w:val="21"/>
        </w:rPr>
        <w:t>如图</w:t>
      </w:r>
      <w:r>
        <w:rPr>
          <w:rFonts w:ascii="宋体" w:eastAsia="宋体" w:hAnsi="宋体" w:cs="Times New Roman"/>
          <w:color w:val="000000"/>
          <w:szCs w:val="21"/>
        </w:rPr>
        <w:t>3</w:t>
      </w:r>
      <w:r>
        <w:rPr>
          <w:rFonts w:ascii="宋体" w:eastAsia="宋体" w:hAnsi="宋体" w:cs="Times New Roman" w:hint="eastAsia"/>
          <w:color w:val="000000"/>
          <w:szCs w:val="21"/>
        </w:rPr>
        <w:t>.</w:t>
      </w:r>
      <w:r>
        <w:rPr>
          <w:rFonts w:ascii="宋体" w:eastAsia="宋体" w:hAnsi="宋体" w:cs="Times New Roman"/>
          <w:color w:val="000000"/>
          <w:szCs w:val="21"/>
        </w:rPr>
        <w:t>2</w:t>
      </w:r>
      <w:r>
        <w:rPr>
          <w:rFonts w:ascii="宋体" w:eastAsia="宋体" w:hAnsi="宋体" w:cs="Times New Roman" w:hint="eastAsia"/>
          <w:color w:val="000000"/>
          <w:szCs w:val="21"/>
        </w:rPr>
        <w:t>所示</w:t>
      </w:r>
      <w:r>
        <w:rPr>
          <w:rFonts w:ascii="宋体" w:eastAsia="宋体" w:hAnsi="宋体" w:cs="Times New Roman"/>
          <w:color w:val="000000"/>
          <w:szCs w:val="21"/>
        </w:rPr>
        <w:t>，</w:t>
      </w:r>
      <w:r>
        <w:rPr>
          <w:rFonts w:ascii="宋体" w:eastAsia="宋体" w:hAnsi="宋体" w:cs="Times New Roman" w:hint="eastAsia"/>
          <w:b/>
          <w:color w:val="000000"/>
          <w:szCs w:val="21"/>
        </w:rPr>
        <w:t>六期各年级</w:t>
      </w:r>
      <w:r>
        <w:rPr>
          <w:rFonts w:ascii="宋体" w:eastAsia="宋体" w:hAnsi="宋体" w:cs="Times New Roman"/>
          <w:b/>
          <w:color w:val="000000"/>
          <w:szCs w:val="21"/>
        </w:rPr>
        <w:t>预警比例</w:t>
      </w:r>
      <w:r>
        <w:rPr>
          <w:rFonts w:ascii="宋体" w:eastAsia="宋体" w:hAnsi="宋体" w:cs="Times New Roman" w:hint="eastAsia"/>
          <w:b/>
          <w:color w:val="000000"/>
          <w:szCs w:val="21"/>
        </w:rPr>
        <w:t>下降趋势更加明显</w:t>
      </w:r>
      <w:r>
        <w:rPr>
          <w:rFonts w:ascii="宋体" w:eastAsia="宋体" w:hAnsi="宋体" w:cs="Times New Roman"/>
          <w:b/>
          <w:color w:val="000000"/>
          <w:szCs w:val="21"/>
        </w:rPr>
        <w:t>，</w:t>
      </w:r>
      <w:r>
        <w:rPr>
          <w:rFonts w:ascii="宋体" w:eastAsia="宋体" w:hAnsi="宋体" w:cs="Times New Roman" w:hint="eastAsia"/>
          <w:b/>
          <w:color w:val="000000"/>
          <w:szCs w:val="21"/>
        </w:rPr>
        <w:t>进一步</w:t>
      </w:r>
      <w:r>
        <w:rPr>
          <w:rFonts w:ascii="宋体" w:eastAsia="宋体" w:hAnsi="宋体" w:cs="Times New Roman"/>
          <w:b/>
          <w:color w:val="000000"/>
          <w:szCs w:val="21"/>
        </w:rPr>
        <w:t>验证了</w:t>
      </w:r>
      <w:r>
        <w:rPr>
          <w:rFonts w:ascii="宋体" w:eastAsia="宋体" w:hAnsi="宋体" w:cs="Times New Roman" w:hint="eastAsia"/>
          <w:b/>
          <w:color w:val="000000"/>
          <w:szCs w:val="21"/>
        </w:rPr>
        <w:t>学业</w:t>
      </w:r>
      <w:r>
        <w:rPr>
          <w:rFonts w:ascii="宋体" w:eastAsia="宋体" w:hAnsi="宋体" w:cs="Times New Roman"/>
          <w:b/>
          <w:color w:val="000000"/>
          <w:szCs w:val="21"/>
        </w:rPr>
        <w:t>帮扶的良好效果</w:t>
      </w:r>
      <w:r>
        <w:rPr>
          <w:rFonts w:ascii="宋体" w:eastAsia="宋体" w:hAnsi="宋体" w:cs="Times New Roman"/>
          <w:color w:val="000000"/>
          <w:szCs w:val="21"/>
        </w:rPr>
        <w:t>。大一</w:t>
      </w:r>
      <w:r>
        <w:rPr>
          <w:rFonts w:ascii="宋体" w:eastAsia="宋体" w:hAnsi="宋体" w:cs="Times New Roman" w:hint="eastAsia"/>
          <w:color w:val="000000"/>
          <w:szCs w:val="21"/>
        </w:rPr>
        <w:t>年级</w:t>
      </w:r>
      <w:r>
        <w:rPr>
          <w:rFonts w:ascii="宋体" w:eastAsia="宋体" w:hAnsi="宋体" w:cs="Times New Roman"/>
          <w:color w:val="000000"/>
          <w:szCs w:val="21"/>
        </w:rPr>
        <w:t>同</w:t>
      </w:r>
      <w:r>
        <w:rPr>
          <w:rFonts w:ascii="宋体" w:eastAsia="宋体" w:hAnsi="宋体" w:cs="Times New Roman" w:hint="eastAsia"/>
          <w:color w:val="000000"/>
          <w:szCs w:val="21"/>
        </w:rPr>
        <w:t>四</w:t>
      </w:r>
      <w:r>
        <w:rPr>
          <w:rFonts w:ascii="宋体" w:eastAsia="宋体" w:hAnsi="宋体" w:cs="Times New Roman"/>
          <w:color w:val="000000"/>
          <w:szCs w:val="21"/>
        </w:rPr>
        <w:t>期相比，预警</w:t>
      </w:r>
      <w:r>
        <w:rPr>
          <w:rFonts w:ascii="宋体" w:eastAsia="宋体" w:hAnsi="宋体" w:cs="Times New Roman" w:hint="eastAsia"/>
          <w:color w:val="000000"/>
          <w:szCs w:val="21"/>
        </w:rPr>
        <w:t>所占</w:t>
      </w:r>
      <w:r>
        <w:rPr>
          <w:rFonts w:ascii="宋体" w:eastAsia="宋体" w:hAnsi="宋体" w:cs="Times New Roman"/>
          <w:color w:val="000000"/>
          <w:szCs w:val="21"/>
        </w:rPr>
        <w:t>整体的百分比</w:t>
      </w:r>
      <w:r>
        <w:rPr>
          <w:rFonts w:ascii="宋体" w:eastAsia="宋体" w:hAnsi="宋体" w:cs="Times New Roman" w:hint="eastAsia"/>
          <w:color w:val="000000"/>
          <w:szCs w:val="21"/>
        </w:rPr>
        <w:t>增加28.15</w:t>
      </w:r>
      <w:r>
        <w:rPr>
          <w:rFonts w:ascii="宋体" w:eastAsia="宋体" w:hAnsi="宋体" w:cs="Times New Roman"/>
          <w:color w:val="000000"/>
          <w:szCs w:val="21"/>
        </w:rPr>
        <w:t>%</w:t>
      </w:r>
      <w:r>
        <w:rPr>
          <w:rFonts w:ascii="宋体" w:eastAsia="宋体" w:hAnsi="宋体" w:cs="Times New Roman" w:hint="eastAsia"/>
          <w:color w:val="000000"/>
          <w:szCs w:val="21"/>
        </w:rPr>
        <w:t>，体现了全校学业预警工作关口前移，也反映了各学院对于学业预警规律认识水平的提升；</w:t>
      </w:r>
      <w:r>
        <w:rPr>
          <w:rFonts w:ascii="宋体" w:eastAsia="宋体" w:hAnsi="宋体" w:cs="Times New Roman"/>
          <w:color w:val="000000"/>
          <w:szCs w:val="21"/>
        </w:rPr>
        <w:t>大二年级</w:t>
      </w:r>
      <w:r>
        <w:rPr>
          <w:rFonts w:ascii="宋体" w:eastAsia="宋体" w:hAnsi="宋体" w:cs="Times New Roman" w:hint="eastAsia"/>
          <w:color w:val="000000"/>
          <w:szCs w:val="21"/>
        </w:rPr>
        <w:t>同</w:t>
      </w:r>
      <w:r>
        <w:rPr>
          <w:rFonts w:ascii="宋体" w:eastAsia="宋体" w:hAnsi="宋体" w:cs="Times New Roman"/>
          <w:color w:val="000000"/>
          <w:szCs w:val="21"/>
        </w:rPr>
        <w:t>四期相比，预警所占整体百分比降低</w:t>
      </w:r>
      <w:r>
        <w:rPr>
          <w:rFonts w:ascii="宋体" w:eastAsia="宋体" w:hAnsi="宋体" w:cs="Times New Roman" w:hint="eastAsia"/>
          <w:color w:val="000000"/>
          <w:szCs w:val="21"/>
        </w:rPr>
        <w:t>25.16</w:t>
      </w:r>
      <w:r>
        <w:rPr>
          <w:rFonts w:ascii="宋体" w:eastAsia="宋体" w:hAnsi="宋体" w:cs="Times New Roman"/>
          <w:color w:val="000000"/>
          <w:szCs w:val="21"/>
        </w:rPr>
        <w:t>%</w:t>
      </w:r>
      <w:r>
        <w:rPr>
          <w:rFonts w:ascii="宋体" w:eastAsia="宋体" w:hAnsi="宋体" w:cs="Times New Roman" w:hint="eastAsia"/>
          <w:color w:val="000000"/>
          <w:szCs w:val="21"/>
        </w:rPr>
        <w:t>，体现了学业预警与学业帮扶的积极作用</w:t>
      </w:r>
      <w:r>
        <w:rPr>
          <w:rFonts w:ascii="宋体" w:eastAsia="宋体" w:hAnsi="宋体" w:cs="Times New Roman"/>
          <w:color w:val="000000"/>
          <w:szCs w:val="21"/>
        </w:rPr>
        <w:t>。</w:t>
      </w:r>
    </w:p>
    <w:p w:rsidR="00721A26" w:rsidRDefault="00721A26" w:rsidP="00721A26">
      <w:pPr>
        <w:spacing w:line="288" w:lineRule="auto"/>
        <w:ind w:firstLineChars="200" w:firstLine="422"/>
        <w:rPr>
          <w:rFonts w:ascii="宋体" w:eastAsia="宋体" w:hAnsi="宋体" w:cs="Times New Roman"/>
          <w:b/>
          <w:color w:val="000000"/>
          <w:szCs w:val="21"/>
        </w:rPr>
      </w:pPr>
      <w:r>
        <w:rPr>
          <w:rFonts w:ascii="宋体" w:eastAsia="宋体" w:hAnsi="宋体" w:cs="Times New Roman"/>
          <w:b/>
          <w:color w:val="000000"/>
          <w:szCs w:val="21"/>
        </w:rPr>
        <w:t>3</w:t>
      </w:r>
      <w:r>
        <w:rPr>
          <w:rFonts w:ascii="宋体" w:eastAsia="宋体" w:hAnsi="宋体" w:cs="Times New Roman" w:hint="eastAsia"/>
          <w:b/>
          <w:color w:val="000000"/>
          <w:szCs w:val="21"/>
        </w:rPr>
        <w:t>.低年级</w:t>
      </w:r>
      <w:r>
        <w:rPr>
          <w:rFonts w:ascii="宋体" w:eastAsia="宋体" w:hAnsi="宋体" w:cs="Times New Roman"/>
          <w:b/>
          <w:color w:val="000000"/>
          <w:szCs w:val="21"/>
        </w:rPr>
        <w:t>初始</w:t>
      </w:r>
      <w:r>
        <w:rPr>
          <w:rFonts w:ascii="宋体" w:eastAsia="宋体" w:hAnsi="宋体" w:cs="Times New Roman" w:hint="eastAsia"/>
          <w:b/>
          <w:color w:val="000000"/>
          <w:szCs w:val="21"/>
        </w:rPr>
        <w:t>迸发量持续降低，高年级学业预警得到控制。</w:t>
      </w:r>
    </w:p>
    <w:p w:rsidR="00721A26" w:rsidRDefault="00721A26" w:rsidP="00721A26">
      <w:pPr>
        <w:spacing w:line="288" w:lineRule="auto"/>
        <w:ind w:firstLineChars="200" w:firstLine="420"/>
        <w:rPr>
          <w:rFonts w:ascii="宋体" w:eastAsia="宋体" w:hAnsi="宋体" w:cs="Times New Roman"/>
          <w:color w:val="000000"/>
          <w:szCs w:val="21"/>
        </w:rPr>
      </w:pPr>
      <w:r>
        <w:rPr>
          <w:rFonts w:ascii="宋体" w:eastAsia="宋体" w:hAnsi="宋体" w:cs="Times New Roman" w:hint="eastAsia"/>
          <w:color w:val="000000"/>
          <w:szCs w:val="21"/>
        </w:rPr>
        <w:t>上学年低年级</w:t>
      </w:r>
      <w:r>
        <w:rPr>
          <w:rFonts w:ascii="宋体" w:eastAsia="宋体" w:hAnsi="宋体" w:cs="Times New Roman"/>
          <w:color w:val="000000"/>
          <w:szCs w:val="21"/>
        </w:rPr>
        <w:t>初始迸发</w:t>
      </w:r>
      <w:r>
        <w:rPr>
          <w:rFonts w:ascii="宋体" w:eastAsia="宋体" w:hAnsi="宋体" w:cs="Times New Roman" w:hint="eastAsia"/>
          <w:color w:val="000000"/>
          <w:szCs w:val="21"/>
        </w:rPr>
        <w:t>量</w:t>
      </w:r>
      <w:r>
        <w:rPr>
          <w:rFonts w:ascii="宋体" w:eastAsia="宋体" w:hAnsi="宋体" w:cs="Times New Roman"/>
          <w:color w:val="000000"/>
          <w:szCs w:val="21"/>
        </w:rPr>
        <w:t>持续降低</w:t>
      </w:r>
      <w:r>
        <w:rPr>
          <w:rFonts w:ascii="宋体" w:eastAsia="宋体" w:hAnsi="宋体" w:cs="Times New Roman" w:hint="eastAsia"/>
          <w:color w:val="000000"/>
          <w:szCs w:val="21"/>
        </w:rPr>
        <w:t>且</w:t>
      </w:r>
      <w:r>
        <w:rPr>
          <w:rFonts w:ascii="宋体" w:eastAsia="宋体" w:hAnsi="宋体" w:cs="Times New Roman"/>
          <w:color w:val="000000"/>
          <w:szCs w:val="21"/>
        </w:rPr>
        <w:t>趋于稳定，</w:t>
      </w:r>
      <w:r>
        <w:rPr>
          <w:rFonts w:ascii="宋体" w:eastAsia="宋体" w:hAnsi="宋体" w:cs="Times New Roman" w:hint="eastAsia"/>
          <w:color w:val="000000"/>
          <w:szCs w:val="21"/>
        </w:rPr>
        <w:t>如</w:t>
      </w:r>
      <w:r>
        <w:rPr>
          <w:rFonts w:ascii="宋体" w:eastAsia="宋体" w:hAnsi="宋体" w:cs="Times New Roman"/>
          <w:color w:val="000000"/>
          <w:szCs w:val="21"/>
        </w:rPr>
        <w:t>第五期和第</w:t>
      </w:r>
      <w:r>
        <w:rPr>
          <w:rFonts w:ascii="宋体" w:eastAsia="宋体" w:hAnsi="宋体" w:cs="Times New Roman" w:hint="eastAsia"/>
          <w:color w:val="000000"/>
          <w:szCs w:val="21"/>
        </w:rPr>
        <w:t>七</w:t>
      </w:r>
      <w:r>
        <w:rPr>
          <w:rFonts w:ascii="宋体" w:eastAsia="宋体" w:hAnsi="宋体" w:cs="Times New Roman"/>
          <w:color w:val="000000"/>
          <w:szCs w:val="21"/>
        </w:rPr>
        <w:t>期</w:t>
      </w:r>
      <w:r>
        <w:rPr>
          <w:rFonts w:ascii="宋体" w:eastAsia="宋体" w:hAnsi="宋体" w:cs="Times New Roman" w:hint="eastAsia"/>
          <w:color w:val="000000"/>
          <w:szCs w:val="21"/>
        </w:rPr>
        <w:t>大一</w:t>
      </w:r>
      <w:r>
        <w:rPr>
          <w:rFonts w:ascii="宋体" w:eastAsia="宋体" w:hAnsi="宋体" w:cs="Times New Roman"/>
          <w:color w:val="000000"/>
          <w:szCs w:val="21"/>
        </w:rPr>
        <w:t>学生群小占比大致相当，上</w:t>
      </w:r>
      <w:r>
        <w:rPr>
          <w:rFonts w:ascii="宋体" w:eastAsia="宋体" w:hAnsi="宋体" w:cs="Times New Roman" w:hint="eastAsia"/>
          <w:color w:val="000000"/>
          <w:szCs w:val="21"/>
        </w:rPr>
        <w:t>学年</w:t>
      </w:r>
      <w:r>
        <w:rPr>
          <w:rFonts w:ascii="宋体" w:eastAsia="宋体" w:hAnsi="宋体" w:cs="Times New Roman"/>
          <w:color w:val="000000"/>
          <w:szCs w:val="21"/>
        </w:rPr>
        <w:t>大一和大</w:t>
      </w:r>
      <w:r>
        <w:rPr>
          <w:rFonts w:ascii="宋体" w:eastAsia="宋体" w:hAnsi="宋体" w:cs="Times New Roman" w:hint="eastAsia"/>
          <w:color w:val="000000"/>
          <w:szCs w:val="21"/>
        </w:rPr>
        <w:t>二</w:t>
      </w:r>
      <w:r>
        <w:rPr>
          <w:rFonts w:ascii="宋体" w:eastAsia="宋体" w:hAnsi="宋体" w:cs="Times New Roman"/>
          <w:color w:val="000000"/>
          <w:szCs w:val="21"/>
        </w:rPr>
        <w:t>年级学生各期占比</w:t>
      </w:r>
      <w:r>
        <w:rPr>
          <w:rFonts w:ascii="宋体" w:eastAsia="宋体" w:hAnsi="宋体" w:cs="Times New Roman" w:hint="eastAsia"/>
          <w:color w:val="000000"/>
          <w:szCs w:val="21"/>
        </w:rPr>
        <w:t>逐期</w:t>
      </w:r>
      <w:r>
        <w:rPr>
          <w:rFonts w:ascii="宋体" w:eastAsia="宋体" w:hAnsi="宋体" w:cs="Times New Roman"/>
          <w:color w:val="000000"/>
          <w:szCs w:val="21"/>
        </w:rPr>
        <w:t>降低。</w:t>
      </w:r>
      <w:r>
        <w:rPr>
          <w:rFonts w:ascii="宋体" w:eastAsia="宋体" w:hAnsi="宋体" w:cs="Times New Roman" w:hint="eastAsia"/>
          <w:color w:val="000000"/>
          <w:szCs w:val="21"/>
        </w:rPr>
        <w:t>大一</w:t>
      </w:r>
      <w:r>
        <w:rPr>
          <w:rFonts w:ascii="宋体" w:eastAsia="宋体" w:hAnsi="宋体" w:cs="Times New Roman"/>
          <w:color w:val="000000"/>
          <w:szCs w:val="21"/>
        </w:rPr>
        <w:t>从</w:t>
      </w:r>
      <w:r>
        <w:rPr>
          <w:rFonts w:ascii="宋体" w:eastAsia="宋体" w:hAnsi="宋体" w:cs="Times New Roman" w:hint="eastAsia"/>
          <w:color w:val="000000"/>
          <w:szCs w:val="21"/>
        </w:rPr>
        <w:t>第一期8</w:t>
      </w:r>
      <w:r>
        <w:rPr>
          <w:rFonts w:ascii="宋体" w:eastAsia="宋体" w:hAnsi="宋体" w:cs="Times New Roman"/>
          <w:color w:val="000000"/>
          <w:szCs w:val="21"/>
        </w:rPr>
        <w:t>.73%</w:t>
      </w:r>
      <w:r>
        <w:rPr>
          <w:rFonts w:ascii="宋体" w:eastAsia="宋体" w:hAnsi="宋体" w:cs="Times New Roman" w:hint="eastAsia"/>
          <w:color w:val="000000"/>
          <w:szCs w:val="21"/>
        </w:rPr>
        <w:t>到</w:t>
      </w:r>
      <w:r>
        <w:rPr>
          <w:rFonts w:ascii="宋体" w:eastAsia="宋体" w:hAnsi="宋体" w:cs="Times New Roman"/>
          <w:color w:val="000000"/>
          <w:szCs w:val="21"/>
        </w:rPr>
        <w:t>第七期下降</w:t>
      </w:r>
      <w:r>
        <w:rPr>
          <w:rFonts w:ascii="宋体" w:eastAsia="宋体" w:hAnsi="宋体" w:cs="Times New Roman" w:hint="eastAsia"/>
          <w:color w:val="000000"/>
          <w:szCs w:val="21"/>
        </w:rPr>
        <w:t>为6.44</w:t>
      </w:r>
      <w:r>
        <w:rPr>
          <w:rFonts w:ascii="宋体" w:eastAsia="宋体" w:hAnsi="宋体" w:cs="Times New Roman"/>
          <w:color w:val="000000"/>
          <w:szCs w:val="21"/>
        </w:rPr>
        <w:t>%，大二从</w:t>
      </w:r>
      <w:r>
        <w:rPr>
          <w:rFonts w:ascii="宋体" w:eastAsia="宋体" w:hAnsi="宋体" w:cs="Times New Roman" w:hint="eastAsia"/>
          <w:color w:val="000000"/>
          <w:szCs w:val="21"/>
        </w:rPr>
        <w:t>第二学期13.34</w:t>
      </w:r>
      <w:r>
        <w:rPr>
          <w:rFonts w:ascii="宋体" w:eastAsia="宋体" w:hAnsi="宋体" w:cs="Times New Roman"/>
          <w:color w:val="000000"/>
          <w:szCs w:val="21"/>
        </w:rPr>
        <w:t>%到第七期下降为</w:t>
      </w:r>
      <w:r>
        <w:rPr>
          <w:rFonts w:ascii="宋体" w:eastAsia="宋体" w:hAnsi="宋体" w:cs="Times New Roman" w:hint="eastAsia"/>
          <w:color w:val="000000"/>
          <w:szCs w:val="21"/>
        </w:rPr>
        <w:t>10.87</w:t>
      </w:r>
      <w:r>
        <w:rPr>
          <w:rFonts w:ascii="宋体" w:eastAsia="宋体" w:hAnsi="宋体" w:cs="Times New Roman"/>
          <w:color w:val="000000"/>
          <w:szCs w:val="21"/>
        </w:rPr>
        <w:t>%。</w:t>
      </w:r>
    </w:p>
    <w:p w:rsidR="00721A26" w:rsidRDefault="00721A26" w:rsidP="00721A26">
      <w:pPr>
        <w:spacing w:line="288" w:lineRule="auto"/>
        <w:ind w:firstLineChars="200" w:firstLine="420"/>
        <w:rPr>
          <w:rFonts w:ascii="宋体" w:eastAsia="宋体" w:hAnsi="宋体" w:cs="Times New Roman"/>
          <w:color w:val="000000"/>
          <w:szCs w:val="21"/>
        </w:rPr>
      </w:pPr>
      <w:r>
        <w:rPr>
          <w:rFonts w:ascii="宋体" w:eastAsia="宋体" w:hAnsi="宋体" w:cs="Times New Roman" w:hint="eastAsia"/>
          <w:color w:val="000000"/>
          <w:szCs w:val="21"/>
        </w:rPr>
        <w:t>下学年大一学生</w:t>
      </w:r>
      <w:r>
        <w:rPr>
          <w:rFonts w:ascii="宋体" w:eastAsia="宋体" w:hAnsi="宋体" w:cs="Times New Roman"/>
          <w:color w:val="000000"/>
          <w:szCs w:val="21"/>
        </w:rPr>
        <w:t>处于预警高发期，</w:t>
      </w:r>
      <w:r>
        <w:rPr>
          <w:rFonts w:ascii="宋体" w:eastAsia="宋体" w:hAnsi="宋体" w:cs="Times New Roman" w:hint="eastAsia"/>
          <w:color w:val="000000"/>
          <w:szCs w:val="21"/>
        </w:rPr>
        <w:t>预警</w:t>
      </w:r>
      <w:r>
        <w:rPr>
          <w:rFonts w:ascii="宋体" w:eastAsia="宋体" w:hAnsi="宋体" w:cs="Times New Roman"/>
          <w:color w:val="000000"/>
          <w:szCs w:val="21"/>
        </w:rPr>
        <w:t>比例波动较大</w:t>
      </w:r>
      <w:r>
        <w:rPr>
          <w:rFonts w:ascii="宋体" w:eastAsia="宋体" w:hAnsi="宋体" w:cs="Times New Roman" w:hint="eastAsia"/>
          <w:color w:val="000000"/>
          <w:szCs w:val="21"/>
        </w:rPr>
        <w:t>。如近</w:t>
      </w:r>
      <w:r>
        <w:rPr>
          <w:rFonts w:ascii="宋体" w:eastAsia="宋体" w:hAnsi="宋体" w:cs="Times New Roman"/>
          <w:color w:val="000000"/>
          <w:szCs w:val="21"/>
        </w:rPr>
        <w:t>三期（第五期、</w:t>
      </w:r>
      <w:r>
        <w:rPr>
          <w:rFonts w:ascii="宋体" w:eastAsia="宋体" w:hAnsi="宋体" w:cs="Times New Roman" w:hint="eastAsia"/>
          <w:color w:val="000000"/>
          <w:szCs w:val="21"/>
        </w:rPr>
        <w:t>第六期、</w:t>
      </w:r>
      <w:r>
        <w:rPr>
          <w:rFonts w:ascii="宋体" w:eastAsia="宋体" w:hAnsi="宋体" w:cs="Times New Roman"/>
          <w:color w:val="000000"/>
          <w:szCs w:val="21"/>
        </w:rPr>
        <w:t>第七期）比例增减</w:t>
      </w:r>
      <w:r>
        <w:rPr>
          <w:rFonts w:ascii="宋体" w:eastAsia="宋体" w:hAnsi="宋体" w:cs="Times New Roman" w:hint="eastAsia"/>
          <w:color w:val="000000"/>
          <w:szCs w:val="21"/>
        </w:rPr>
        <w:t>8</w:t>
      </w:r>
      <w:r>
        <w:rPr>
          <w:rFonts w:ascii="宋体" w:eastAsia="宋体" w:hAnsi="宋体" w:cs="Times New Roman"/>
          <w:color w:val="000000"/>
          <w:szCs w:val="21"/>
        </w:rPr>
        <w:t>%。</w:t>
      </w:r>
    </w:p>
    <w:p w:rsidR="00721A26" w:rsidRDefault="00721A26" w:rsidP="00721A26">
      <w:pPr>
        <w:spacing w:line="288" w:lineRule="auto"/>
        <w:ind w:firstLineChars="200" w:firstLine="420"/>
        <w:rPr>
          <w:rFonts w:ascii="宋体" w:eastAsia="宋体" w:hAnsi="宋体" w:cs="Times New Roman"/>
          <w:color w:val="000000"/>
          <w:szCs w:val="21"/>
        </w:rPr>
      </w:pPr>
      <w:r>
        <w:rPr>
          <w:rFonts w:ascii="宋体" w:eastAsia="宋体" w:hAnsi="宋体" w:cs="Times New Roman" w:hint="eastAsia"/>
          <w:color w:val="000000"/>
          <w:szCs w:val="21"/>
        </w:rPr>
        <w:t>低年级（大一</w:t>
      </w:r>
      <w:r>
        <w:rPr>
          <w:rFonts w:ascii="宋体" w:eastAsia="宋体" w:hAnsi="宋体" w:cs="Times New Roman"/>
          <w:color w:val="000000"/>
          <w:szCs w:val="21"/>
        </w:rPr>
        <w:t>、大二）下学</w:t>
      </w:r>
      <w:r>
        <w:rPr>
          <w:rFonts w:ascii="宋体" w:eastAsia="宋体" w:hAnsi="宋体" w:cs="Times New Roman" w:hint="eastAsia"/>
          <w:color w:val="000000"/>
          <w:szCs w:val="21"/>
        </w:rPr>
        <w:t>年</w:t>
      </w:r>
      <w:r>
        <w:rPr>
          <w:rFonts w:ascii="宋体" w:eastAsia="宋体" w:hAnsi="宋体" w:cs="Times New Roman"/>
          <w:color w:val="000000"/>
          <w:szCs w:val="21"/>
        </w:rPr>
        <w:t>预警</w:t>
      </w:r>
      <w:r>
        <w:rPr>
          <w:rFonts w:ascii="宋体" w:eastAsia="宋体" w:hAnsi="宋体" w:cs="Times New Roman" w:hint="eastAsia"/>
          <w:color w:val="000000"/>
          <w:szCs w:val="21"/>
        </w:rPr>
        <w:t>较</w:t>
      </w:r>
      <w:r>
        <w:rPr>
          <w:rFonts w:ascii="宋体" w:eastAsia="宋体" w:hAnsi="宋体" w:cs="Times New Roman"/>
          <w:color w:val="000000"/>
          <w:szCs w:val="21"/>
        </w:rPr>
        <w:t>上学年严重，高年级</w:t>
      </w:r>
      <w:r>
        <w:rPr>
          <w:rFonts w:ascii="宋体" w:eastAsia="宋体" w:hAnsi="宋体" w:cs="Times New Roman" w:hint="eastAsia"/>
          <w:color w:val="000000"/>
          <w:szCs w:val="21"/>
        </w:rPr>
        <w:t>（大三</w:t>
      </w:r>
      <w:r>
        <w:rPr>
          <w:rFonts w:ascii="宋体" w:eastAsia="宋体" w:hAnsi="宋体" w:cs="Times New Roman"/>
          <w:color w:val="000000"/>
          <w:szCs w:val="21"/>
        </w:rPr>
        <w:t>）学业预警得到控制。</w:t>
      </w:r>
      <w:r>
        <w:rPr>
          <w:rFonts w:ascii="宋体" w:eastAsia="宋体" w:hAnsi="宋体" w:cs="Times New Roman" w:hint="eastAsia"/>
          <w:color w:val="000000"/>
          <w:szCs w:val="21"/>
        </w:rPr>
        <w:t>大二</w:t>
      </w:r>
      <w:r>
        <w:rPr>
          <w:rFonts w:ascii="宋体" w:eastAsia="宋体" w:hAnsi="宋体" w:cs="Times New Roman"/>
          <w:color w:val="000000"/>
          <w:szCs w:val="21"/>
        </w:rPr>
        <w:t>上学年</w:t>
      </w:r>
      <w:r>
        <w:rPr>
          <w:rFonts w:ascii="宋体" w:eastAsia="宋体" w:hAnsi="宋体" w:cs="Times New Roman" w:hint="eastAsia"/>
          <w:color w:val="000000"/>
          <w:szCs w:val="21"/>
        </w:rPr>
        <w:t>10</w:t>
      </w:r>
      <w:r>
        <w:rPr>
          <w:rFonts w:ascii="宋体" w:eastAsia="宋体" w:hAnsi="宋体" w:cs="Times New Roman"/>
          <w:color w:val="000000"/>
          <w:szCs w:val="21"/>
        </w:rPr>
        <w:t>%-13%，下学</w:t>
      </w:r>
      <w:r>
        <w:rPr>
          <w:rFonts w:ascii="宋体" w:eastAsia="宋体" w:hAnsi="宋体" w:cs="Times New Roman" w:hint="eastAsia"/>
          <w:color w:val="000000"/>
          <w:szCs w:val="21"/>
        </w:rPr>
        <w:t>年11</w:t>
      </w:r>
      <w:r>
        <w:rPr>
          <w:rFonts w:ascii="宋体" w:eastAsia="宋体" w:hAnsi="宋体" w:cs="Times New Roman"/>
          <w:color w:val="000000"/>
          <w:szCs w:val="21"/>
        </w:rPr>
        <w:t>%-14%；</w:t>
      </w:r>
      <w:r>
        <w:rPr>
          <w:rFonts w:ascii="宋体" w:eastAsia="宋体" w:hAnsi="宋体" w:cs="Times New Roman" w:hint="eastAsia"/>
          <w:color w:val="000000"/>
          <w:szCs w:val="21"/>
        </w:rPr>
        <w:t>大三上学年近10</w:t>
      </w:r>
      <w:r>
        <w:rPr>
          <w:rFonts w:ascii="宋体" w:eastAsia="宋体" w:hAnsi="宋体" w:cs="Times New Roman"/>
          <w:color w:val="000000"/>
          <w:szCs w:val="21"/>
        </w:rPr>
        <w:t>%</w:t>
      </w:r>
      <w:r>
        <w:rPr>
          <w:rFonts w:ascii="宋体" w:eastAsia="宋体" w:hAnsi="宋体" w:cs="Times New Roman" w:hint="eastAsia"/>
          <w:color w:val="000000"/>
          <w:szCs w:val="21"/>
        </w:rPr>
        <w:t>，</w:t>
      </w:r>
      <w:r>
        <w:rPr>
          <w:rFonts w:ascii="宋体" w:eastAsia="宋体" w:hAnsi="宋体" w:cs="Times New Roman"/>
          <w:color w:val="000000"/>
          <w:szCs w:val="21"/>
        </w:rPr>
        <w:t>下学年近</w:t>
      </w:r>
      <w:r>
        <w:rPr>
          <w:rFonts w:ascii="宋体" w:eastAsia="宋体" w:hAnsi="宋体" w:cs="Times New Roman" w:hint="eastAsia"/>
          <w:color w:val="000000"/>
          <w:szCs w:val="21"/>
        </w:rPr>
        <w:t>9</w:t>
      </w:r>
      <w:r>
        <w:rPr>
          <w:rFonts w:ascii="宋体" w:eastAsia="宋体" w:hAnsi="宋体" w:cs="Times New Roman"/>
          <w:color w:val="000000"/>
          <w:szCs w:val="21"/>
        </w:rPr>
        <w:t>%</w:t>
      </w:r>
      <w:r>
        <w:rPr>
          <w:rFonts w:ascii="宋体" w:eastAsia="宋体" w:hAnsi="宋体" w:cs="Times New Roman" w:hint="eastAsia"/>
          <w:color w:val="000000"/>
          <w:szCs w:val="21"/>
        </w:rPr>
        <w:t>。</w:t>
      </w:r>
    </w:p>
    <w:p w:rsidR="00721A26" w:rsidRDefault="00721A26" w:rsidP="00721A26">
      <w:pPr>
        <w:spacing w:line="288" w:lineRule="auto"/>
        <w:ind w:firstLineChars="200" w:firstLine="420"/>
        <w:rPr>
          <w:rFonts w:ascii="宋体" w:eastAsia="宋体" w:hAnsi="宋体" w:cs="Times New Roman"/>
          <w:color w:val="000000"/>
          <w:szCs w:val="21"/>
        </w:rPr>
      </w:pPr>
      <w:r>
        <w:rPr>
          <w:rFonts w:ascii="宋体" w:eastAsia="宋体" w:hAnsi="宋体" w:cs="Times New Roman" w:hint="eastAsia"/>
          <w:color w:val="000000"/>
          <w:szCs w:val="21"/>
        </w:rPr>
        <w:t>学业预警得当</w:t>
      </w:r>
      <w:r>
        <w:rPr>
          <w:rFonts w:ascii="宋体" w:eastAsia="宋体" w:hAnsi="宋体" w:cs="Times New Roman"/>
          <w:color w:val="000000"/>
          <w:szCs w:val="21"/>
        </w:rPr>
        <w:t>，</w:t>
      </w:r>
      <w:r>
        <w:rPr>
          <w:rFonts w:ascii="宋体" w:eastAsia="宋体" w:hAnsi="宋体" w:cs="Times New Roman" w:hint="eastAsia"/>
          <w:color w:val="000000"/>
          <w:szCs w:val="21"/>
        </w:rPr>
        <w:t>毕业生学业</w:t>
      </w:r>
      <w:r>
        <w:rPr>
          <w:rFonts w:ascii="宋体" w:eastAsia="宋体" w:hAnsi="宋体" w:cs="Times New Roman"/>
          <w:color w:val="000000"/>
          <w:szCs w:val="21"/>
        </w:rPr>
        <w:t>预警得到控制，上学年大四学生</w:t>
      </w:r>
      <w:r>
        <w:rPr>
          <w:rFonts w:ascii="宋体" w:eastAsia="宋体" w:hAnsi="宋体" w:cs="Times New Roman" w:hint="eastAsia"/>
          <w:color w:val="000000"/>
          <w:szCs w:val="21"/>
        </w:rPr>
        <w:t>第七</w:t>
      </w:r>
      <w:r>
        <w:rPr>
          <w:rFonts w:ascii="宋体" w:eastAsia="宋体" w:hAnsi="宋体" w:cs="Times New Roman"/>
          <w:color w:val="000000"/>
          <w:szCs w:val="21"/>
        </w:rPr>
        <w:t>期降低为</w:t>
      </w:r>
      <w:r>
        <w:rPr>
          <w:rFonts w:ascii="宋体" w:eastAsia="宋体" w:hAnsi="宋体" w:cs="Times New Roman" w:hint="eastAsia"/>
          <w:color w:val="000000"/>
          <w:szCs w:val="21"/>
        </w:rPr>
        <w:t>5.7</w:t>
      </w:r>
      <w:r>
        <w:rPr>
          <w:rFonts w:ascii="宋体" w:eastAsia="宋体" w:hAnsi="宋体" w:cs="Times New Roman"/>
          <w:color w:val="000000"/>
          <w:szCs w:val="21"/>
        </w:rPr>
        <w:t>%。</w:t>
      </w:r>
    </w:p>
    <w:p w:rsidR="00721A26" w:rsidRDefault="00721A26" w:rsidP="00721A26">
      <w:pPr>
        <w:widowControl/>
        <w:spacing w:line="288" w:lineRule="auto"/>
        <w:jc w:val="left"/>
        <w:rPr>
          <w:rFonts w:ascii="宋体" w:eastAsia="宋体" w:hAnsi="宋体" w:cs="Times New Roman"/>
          <w:color w:val="000000"/>
          <w:szCs w:val="21"/>
        </w:rPr>
      </w:pPr>
    </w:p>
    <w:p w:rsidR="00721A26" w:rsidRDefault="00721A26" w:rsidP="00721A26">
      <w:pPr>
        <w:spacing w:line="288" w:lineRule="auto"/>
        <w:ind w:firstLineChars="200" w:firstLine="420"/>
        <w:rPr>
          <w:rFonts w:ascii="宋体" w:eastAsia="宋体" w:hAnsi="宋体" w:cs="Times New Roman"/>
          <w:color w:val="000000"/>
          <w:szCs w:val="21"/>
        </w:rPr>
      </w:pPr>
      <w:r>
        <w:rPr>
          <w:rFonts w:ascii="宋体" w:eastAsia="宋体" w:hAnsi="宋体" w:cs="Times New Roman"/>
          <w:noProof/>
          <w:color w:val="000000"/>
          <w:szCs w:val="21"/>
        </w:rPr>
        <w:lastRenderedPageBreak/>
        <w:drawing>
          <wp:anchor distT="0" distB="0" distL="114300" distR="114300" simplePos="0" relativeHeight="251661312" behindDoc="0" locked="0" layoutInCell="1" allowOverlap="1" wp14:anchorId="069C5422" wp14:editId="36545AB1">
            <wp:simplePos x="0" y="0"/>
            <wp:positionH relativeFrom="column">
              <wp:posOffset>209550</wp:posOffset>
            </wp:positionH>
            <wp:positionV relativeFrom="paragraph">
              <wp:posOffset>9525</wp:posOffset>
            </wp:positionV>
            <wp:extent cx="4579620" cy="2007235"/>
            <wp:effectExtent l="0" t="0" r="11430" b="12065"/>
            <wp:wrapSquare wrapText="bothSides"/>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579620" cy="2007235"/>
                    </a:xfrm>
                    <a:prstGeom prst="rect">
                      <a:avLst/>
                    </a:prstGeom>
                    <a:noFill/>
                    <a:ln>
                      <a:noFill/>
                    </a:ln>
                  </pic:spPr>
                </pic:pic>
              </a:graphicData>
            </a:graphic>
          </wp:anchor>
        </w:drawing>
      </w:r>
    </w:p>
    <w:p w:rsidR="00721A26" w:rsidRDefault="00721A26" w:rsidP="00721A26">
      <w:pPr>
        <w:spacing w:line="288" w:lineRule="auto"/>
        <w:ind w:firstLineChars="200" w:firstLine="420"/>
        <w:rPr>
          <w:rFonts w:ascii="宋体" w:eastAsia="宋体" w:hAnsi="宋体" w:cs="Times New Roman"/>
          <w:color w:val="000000"/>
          <w:szCs w:val="21"/>
        </w:rPr>
      </w:pPr>
    </w:p>
    <w:p w:rsidR="00721A26" w:rsidRDefault="00721A26" w:rsidP="00721A26">
      <w:pPr>
        <w:spacing w:line="288" w:lineRule="auto"/>
        <w:ind w:firstLineChars="200" w:firstLine="420"/>
        <w:rPr>
          <w:rFonts w:ascii="宋体" w:eastAsia="宋体" w:hAnsi="宋体" w:cs="Times New Roman"/>
          <w:color w:val="000000"/>
          <w:szCs w:val="21"/>
        </w:rPr>
      </w:pPr>
    </w:p>
    <w:p w:rsidR="00721A26" w:rsidRDefault="00721A26" w:rsidP="00721A26">
      <w:pPr>
        <w:spacing w:line="288" w:lineRule="auto"/>
        <w:ind w:firstLineChars="200" w:firstLine="420"/>
        <w:rPr>
          <w:rFonts w:ascii="宋体" w:eastAsia="宋体" w:hAnsi="宋体" w:cs="Times New Roman"/>
          <w:color w:val="000000"/>
          <w:szCs w:val="21"/>
        </w:rPr>
      </w:pPr>
    </w:p>
    <w:p w:rsidR="00721A26" w:rsidRDefault="00721A26" w:rsidP="00721A26">
      <w:pPr>
        <w:spacing w:line="288" w:lineRule="auto"/>
        <w:ind w:firstLineChars="200" w:firstLine="420"/>
        <w:rPr>
          <w:rFonts w:ascii="宋体" w:eastAsia="宋体" w:hAnsi="宋体" w:cs="Times New Roman"/>
          <w:color w:val="000000"/>
          <w:szCs w:val="21"/>
        </w:rPr>
      </w:pPr>
    </w:p>
    <w:p w:rsidR="00721A26" w:rsidRDefault="00721A26" w:rsidP="00721A26">
      <w:pPr>
        <w:spacing w:line="288" w:lineRule="auto"/>
        <w:ind w:firstLineChars="200" w:firstLine="420"/>
        <w:rPr>
          <w:rFonts w:ascii="宋体" w:eastAsia="宋体" w:hAnsi="宋体" w:cs="Times New Roman"/>
          <w:color w:val="000000"/>
          <w:szCs w:val="21"/>
        </w:rPr>
      </w:pPr>
    </w:p>
    <w:p w:rsidR="00721A26" w:rsidRDefault="00721A26" w:rsidP="00721A26">
      <w:pPr>
        <w:spacing w:line="288" w:lineRule="auto"/>
        <w:ind w:firstLineChars="200" w:firstLine="420"/>
        <w:rPr>
          <w:rFonts w:ascii="宋体" w:eastAsia="宋体" w:hAnsi="宋体" w:cs="Times New Roman"/>
          <w:color w:val="000000"/>
          <w:szCs w:val="21"/>
        </w:rPr>
      </w:pPr>
    </w:p>
    <w:bookmarkEnd w:id="16"/>
    <w:bookmarkEnd w:id="17"/>
    <w:bookmarkEnd w:id="18"/>
    <w:p w:rsidR="00721A26" w:rsidRDefault="00721A26" w:rsidP="00721A26">
      <w:pPr>
        <w:spacing w:line="288" w:lineRule="auto"/>
        <w:jc w:val="center"/>
        <w:rPr>
          <w:rFonts w:ascii="宋体" w:eastAsia="宋体" w:hAnsi="宋体" w:cs="Times New Roman"/>
          <w:color w:val="000000"/>
          <w:szCs w:val="21"/>
        </w:rPr>
      </w:pPr>
    </w:p>
    <w:p w:rsidR="00721A26" w:rsidRDefault="00721A26" w:rsidP="00721A26">
      <w:pPr>
        <w:spacing w:line="288" w:lineRule="auto"/>
        <w:jc w:val="center"/>
        <w:rPr>
          <w:rFonts w:ascii="宋体" w:eastAsia="宋体" w:hAnsi="宋体" w:cs="Times New Roman"/>
          <w:color w:val="000000"/>
          <w:szCs w:val="21"/>
        </w:rPr>
      </w:pPr>
      <w:r>
        <w:rPr>
          <w:rFonts w:ascii="宋体" w:eastAsia="宋体" w:hAnsi="宋体" w:cs="Times New Roman" w:hint="eastAsia"/>
          <w:color w:val="000000"/>
          <w:szCs w:val="21"/>
        </w:rPr>
        <w:t>图</w:t>
      </w:r>
      <w:r>
        <w:rPr>
          <w:rFonts w:ascii="宋体" w:eastAsia="宋体" w:hAnsi="宋体" w:cs="Times New Roman"/>
          <w:color w:val="000000"/>
          <w:szCs w:val="21"/>
        </w:rPr>
        <w:t>3</w:t>
      </w:r>
      <w:r>
        <w:rPr>
          <w:rFonts w:ascii="宋体" w:eastAsia="宋体" w:hAnsi="宋体" w:cs="Times New Roman" w:hint="eastAsia"/>
          <w:color w:val="000000"/>
          <w:szCs w:val="21"/>
        </w:rPr>
        <w:t>.</w:t>
      </w:r>
      <w:r>
        <w:rPr>
          <w:rFonts w:ascii="宋体" w:eastAsia="宋体" w:hAnsi="宋体" w:cs="Times New Roman"/>
          <w:color w:val="000000"/>
          <w:szCs w:val="21"/>
        </w:rPr>
        <w:t>3</w:t>
      </w:r>
      <w:r>
        <w:rPr>
          <w:rFonts w:ascii="宋体" w:eastAsia="宋体" w:hAnsi="宋体" w:cs="Times New Roman" w:hint="eastAsia"/>
          <w:color w:val="000000"/>
          <w:szCs w:val="21"/>
        </w:rPr>
        <w:t>：各学期预警学生上学年年级组成分布（全校学生）</w:t>
      </w:r>
    </w:p>
    <w:p w:rsidR="00721A26" w:rsidRDefault="00721A26" w:rsidP="00721A26">
      <w:pPr>
        <w:spacing w:line="288" w:lineRule="auto"/>
        <w:jc w:val="center"/>
        <w:rPr>
          <w:rFonts w:ascii="宋体" w:eastAsia="宋体" w:hAnsi="宋体" w:cs="Times New Roman"/>
          <w:color w:val="000000"/>
          <w:szCs w:val="21"/>
        </w:rPr>
      </w:pPr>
    </w:p>
    <w:p w:rsidR="00721A26" w:rsidRDefault="00721A26" w:rsidP="00721A26">
      <w:pPr>
        <w:spacing w:line="288" w:lineRule="auto"/>
        <w:jc w:val="center"/>
        <w:rPr>
          <w:rFonts w:ascii="宋体" w:eastAsia="宋体" w:hAnsi="宋体" w:cs="Times New Roman"/>
          <w:color w:val="000000"/>
          <w:szCs w:val="21"/>
        </w:rPr>
      </w:pPr>
      <w:r>
        <w:rPr>
          <w:rFonts w:ascii="宋体" w:eastAsia="宋体" w:hAnsi="宋体" w:cs="Times New Roman"/>
          <w:noProof/>
          <w:color w:val="000000"/>
          <w:szCs w:val="21"/>
        </w:rPr>
        <w:drawing>
          <wp:anchor distT="0" distB="0" distL="114300" distR="114300" simplePos="0" relativeHeight="251662336" behindDoc="0" locked="0" layoutInCell="1" allowOverlap="1" wp14:anchorId="5D2816EF" wp14:editId="6604B879">
            <wp:simplePos x="0" y="0"/>
            <wp:positionH relativeFrom="column">
              <wp:posOffset>161925</wp:posOffset>
            </wp:positionH>
            <wp:positionV relativeFrom="paragraph">
              <wp:posOffset>11430</wp:posOffset>
            </wp:positionV>
            <wp:extent cx="4686300" cy="2273300"/>
            <wp:effectExtent l="0" t="0" r="0" b="12700"/>
            <wp:wrapSquare wrapText="bothSides"/>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686300" cy="2273300"/>
                    </a:xfrm>
                    <a:prstGeom prst="rect">
                      <a:avLst/>
                    </a:prstGeom>
                    <a:noFill/>
                    <a:ln>
                      <a:noFill/>
                    </a:ln>
                  </pic:spPr>
                </pic:pic>
              </a:graphicData>
            </a:graphic>
          </wp:anchor>
        </w:drawing>
      </w:r>
    </w:p>
    <w:p w:rsidR="00721A26" w:rsidRDefault="00721A26" w:rsidP="00721A26">
      <w:pPr>
        <w:spacing w:line="288" w:lineRule="auto"/>
        <w:jc w:val="center"/>
        <w:rPr>
          <w:rFonts w:ascii="宋体" w:eastAsia="宋体" w:hAnsi="宋体" w:cs="Times New Roman"/>
          <w:color w:val="000000"/>
          <w:szCs w:val="21"/>
        </w:rPr>
      </w:pPr>
    </w:p>
    <w:p w:rsidR="00721A26" w:rsidRDefault="00721A26" w:rsidP="00721A26">
      <w:pPr>
        <w:spacing w:line="288" w:lineRule="auto"/>
        <w:jc w:val="center"/>
        <w:rPr>
          <w:rFonts w:ascii="宋体" w:eastAsia="宋体" w:hAnsi="宋体" w:cs="Times New Roman"/>
          <w:color w:val="000000"/>
          <w:szCs w:val="21"/>
        </w:rPr>
      </w:pPr>
    </w:p>
    <w:p w:rsidR="00721A26" w:rsidRDefault="00721A26" w:rsidP="00721A26">
      <w:pPr>
        <w:spacing w:line="288" w:lineRule="auto"/>
        <w:jc w:val="center"/>
        <w:rPr>
          <w:rFonts w:ascii="宋体" w:eastAsia="宋体" w:hAnsi="宋体" w:cs="Times New Roman"/>
          <w:color w:val="000000"/>
          <w:szCs w:val="21"/>
        </w:rPr>
      </w:pPr>
    </w:p>
    <w:p w:rsidR="00721A26" w:rsidRDefault="00721A26" w:rsidP="00721A26">
      <w:pPr>
        <w:spacing w:line="288" w:lineRule="auto"/>
        <w:jc w:val="center"/>
        <w:rPr>
          <w:rFonts w:ascii="宋体" w:eastAsia="宋体" w:hAnsi="宋体" w:cs="Times New Roman"/>
          <w:color w:val="000000"/>
          <w:szCs w:val="21"/>
        </w:rPr>
      </w:pPr>
    </w:p>
    <w:p w:rsidR="00721A26" w:rsidRDefault="00721A26" w:rsidP="00721A26">
      <w:pPr>
        <w:spacing w:line="288" w:lineRule="auto"/>
        <w:jc w:val="center"/>
        <w:rPr>
          <w:rFonts w:ascii="宋体" w:eastAsia="宋体" w:hAnsi="宋体" w:cs="Times New Roman"/>
          <w:color w:val="000000"/>
          <w:szCs w:val="21"/>
        </w:rPr>
      </w:pPr>
    </w:p>
    <w:p w:rsidR="00721A26" w:rsidRDefault="00721A26" w:rsidP="00721A26">
      <w:pPr>
        <w:spacing w:line="288" w:lineRule="auto"/>
        <w:jc w:val="center"/>
        <w:rPr>
          <w:rFonts w:ascii="宋体" w:eastAsia="宋体" w:hAnsi="宋体" w:cs="Times New Roman"/>
          <w:color w:val="000000"/>
          <w:szCs w:val="21"/>
        </w:rPr>
      </w:pPr>
    </w:p>
    <w:p w:rsidR="00721A26" w:rsidRDefault="00721A26" w:rsidP="00721A26">
      <w:pPr>
        <w:spacing w:line="288" w:lineRule="auto"/>
        <w:jc w:val="center"/>
        <w:rPr>
          <w:rFonts w:ascii="宋体" w:eastAsia="宋体" w:hAnsi="宋体" w:cs="Times New Roman"/>
          <w:color w:val="000000"/>
          <w:szCs w:val="21"/>
        </w:rPr>
      </w:pPr>
    </w:p>
    <w:p w:rsidR="00721A26" w:rsidRDefault="00721A26" w:rsidP="00721A26">
      <w:pPr>
        <w:spacing w:line="288" w:lineRule="auto"/>
        <w:jc w:val="center"/>
        <w:rPr>
          <w:rFonts w:ascii="宋体" w:eastAsia="宋体" w:hAnsi="宋体" w:cs="Times New Roman"/>
          <w:color w:val="000000"/>
          <w:szCs w:val="21"/>
        </w:rPr>
      </w:pPr>
    </w:p>
    <w:p w:rsidR="00721A26" w:rsidRDefault="00721A26" w:rsidP="00721A26">
      <w:pPr>
        <w:spacing w:line="288" w:lineRule="auto"/>
        <w:jc w:val="center"/>
        <w:rPr>
          <w:rFonts w:ascii="宋体" w:eastAsia="宋体" w:hAnsi="宋体" w:cs="Times New Roman"/>
          <w:color w:val="000000"/>
          <w:szCs w:val="21"/>
        </w:rPr>
      </w:pPr>
      <w:bookmarkStart w:id="19" w:name="_Toc512593886"/>
      <w:r>
        <w:rPr>
          <w:rFonts w:ascii="宋体" w:eastAsia="宋体" w:hAnsi="宋体" w:cs="Times New Roman" w:hint="eastAsia"/>
          <w:color w:val="000000"/>
          <w:szCs w:val="21"/>
        </w:rPr>
        <w:t>图</w:t>
      </w:r>
      <w:r>
        <w:rPr>
          <w:rFonts w:ascii="宋体" w:eastAsia="宋体" w:hAnsi="宋体" w:cs="Times New Roman"/>
          <w:color w:val="000000"/>
          <w:szCs w:val="21"/>
        </w:rPr>
        <w:t>3</w:t>
      </w:r>
      <w:r>
        <w:rPr>
          <w:rFonts w:ascii="宋体" w:eastAsia="宋体" w:hAnsi="宋体" w:cs="Times New Roman" w:hint="eastAsia"/>
          <w:color w:val="000000"/>
          <w:szCs w:val="21"/>
        </w:rPr>
        <w:t>.</w:t>
      </w:r>
      <w:r>
        <w:rPr>
          <w:rFonts w:ascii="宋体" w:eastAsia="宋体" w:hAnsi="宋体" w:cs="Times New Roman"/>
          <w:color w:val="000000"/>
          <w:szCs w:val="21"/>
        </w:rPr>
        <w:t>4</w:t>
      </w:r>
      <w:r>
        <w:rPr>
          <w:rFonts w:ascii="宋体" w:eastAsia="宋体" w:hAnsi="宋体" w:cs="Times New Roman" w:hint="eastAsia"/>
          <w:color w:val="000000"/>
          <w:szCs w:val="21"/>
        </w:rPr>
        <w:t>：各学期预警学生下学年年级组成分布（全校学生）</w:t>
      </w:r>
      <w:bookmarkEnd w:id="19"/>
    </w:p>
    <w:p w:rsidR="00721A26" w:rsidRDefault="00721A26" w:rsidP="00721A26">
      <w:pPr>
        <w:spacing w:line="288" w:lineRule="auto"/>
        <w:rPr>
          <w:rFonts w:ascii="宋体" w:eastAsia="宋体" w:hAnsi="宋体" w:cs="Times New Roman"/>
          <w:color w:val="000000"/>
          <w:szCs w:val="21"/>
        </w:rPr>
      </w:pPr>
    </w:p>
    <w:p w:rsidR="00721A26" w:rsidRDefault="00721A26" w:rsidP="00721A26">
      <w:pPr>
        <w:spacing w:line="288" w:lineRule="auto"/>
        <w:ind w:firstLineChars="200" w:firstLine="422"/>
        <w:rPr>
          <w:rFonts w:ascii="宋体" w:eastAsia="宋体" w:hAnsi="宋体" w:cs="Times New Roman"/>
          <w:b/>
          <w:color w:val="000000"/>
          <w:szCs w:val="21"/>
        </w:rPr>
      </w:pPr>
      <w:r>
        <w:rPr>
          <w:rFonts w:ascii="宋体" w:eastAsia="宋体" w:hAnsi="宋体" w:cs="Times New Roman"/>
          <w:b/>
          <w:color w:val="000000"/>
          <w:szCs w:val="21"/>
        </w:rPr>
        <w:t>4</w:t>
      </w:r>
      <w:r>
        <w:rPr>
          <w:rFonts w:ascii="宋体" w:eastAsia="宋体" w:hAnsi="宋体" w:cs="Times New Roman" w:hint="eastAsia"/>
          <w:b/>
          <w:color w:val="000000"/>
          <w:szCs w:val="21"/>
        </w:rPr>
        <w:t>.</w:t>
      </w:r>
      <w:r>
        <w:rPr>
          <w:rFonts w:ascii="Calibri" w:eastAsia="宋体" w:hAnsi="Calibri" w:cs="Times New Roman" w:hint="eastAsia"/>
          <w:szCs w:val="21"/>
        </w:rPr>
        <w:t xml:space="preserve"> </w:t>
      </w:r>
      <w:r>
        <w:rPr>
          <w:rFonts w:ascii="宋体" w:eastAsia="宋体" w:hAnsi="宋体" w:cs="Times New Roman" w:hint="eastAsia"/>
          <w:b/>
          <w:color w:val="000000"/>
          <w:szCs w:val="21"/>
        </w:rPr>
        <w:t>预警学生态势转好，扁平化趋势明显。</w:t>
      </w:r>
    </w:p>
    <w:p w:rsidR="00721A26" w:rsidRDefault="00721A26" w:rsidP="00721A26">
      <w:pPr>
        <w:spacing w:line="288" w:lineRule="auto"/>
        <w:ind w:firstLineChars="200" w:firstLine="422"/>
        <w:jc w:val="center"/>
        <w:rPr>
          <w:rFonts w:ascii="宋体" w:eastAsia="宋体" w:hAnsi="宋体" w:cs="Times New Roman"/>
          <w:color w:val="000000"/>
          <w:szCs w:val="21"/>
        </w:rPr>
      </w:pPr>
      <w:r>
        <w:rPr>
          <w:rFonts w:ascii="宋体" w:eastAsia="宋体" w:hAnsi="宋体" w:cs="Times New Roman"/>
          <w:b/>
          <w:noProof/>
          <w:color w:val="000000"/>
          <w:szCs w:val="21"/>
        </w:rPr>
        <w:drawing>
          <wp:anchor distT="0" distB="0" distL="114300" distR="114300" simplePos="0" relativeHeight="251665408" behindDoc="0" locked="0" layoutInCell="1" allowOverlap="1" wp14:anchorId="5E25D824" wp14:editId="6CE1C347">
            <wp:simplePos x="0" y="0"/>
            <wp:positionH relativeFrom="column">
              <wp:posOffset>123825</wp:posOffset>
            </wp:positionH>
            <wp:positionV relativeFrom="paragraph">
              <wp:posOffset>105410</wp:posOffset>
            </wp:positionV>
            <wp:extent cx="4927600" cy="1828800"/>
            <wp:effectExtent l="0" t="0" r="6350" b="0"/>
            <wp:wrapTopAndBottom/>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4927600" cy="1828800"/>
                    </a:xfrm>
                    <a:prstGeom prst="rect">
                      <a:avLst/>
                    </a:prstGeom>
                    <a:noFill/>
                    <a:ln>
                      <a:noFill/>
                    </a:ln>
                  </pic:spPr>
                </pic:pic>
              </a:graphicData>
            </a:graphic>
          </wp:anchor>
        </w:drawing>
      </w:r>
      <w:r>
        <w:rPr>
          <w:rFonts w:ascii="宋体" w:eastAsia="宋体" w:hAnsi="宋体" w:cs="Times New Roman" w:hint="eastAsia"/>
          <w:color w:val="000000"/>
          <w:szCs w:val="21"/>
        </w:rPr>
        <w:t>图</w:t>
      </w:r>
      <w:r>
        <w:rPr>
          <w:rFonts w:ascii="宋体" w:eastAsia="宋体" w:hAnsi="宋体" w:cs="Times New Roman"/>
          <w:color w:val="000000"/>
          <w:szCs w:val="21"/>
        </w:rPr>
        <w:t>3.5</w:t>
      </w:r>
      <w:r>
        <w:rPr>
          <w:rFonts w:ascii="宋体" w:eastAsia="宋体" w:hAnsi="宋体" w:cs="Times New Roman" w:hint="eastAsia"/>
          <w:color w:val="000000"/>
          <w:szCs w:val="21"/>
        </w:rPr>
        <w:t>：上学年各期预警学生的挂科门数对比</w:t>
      </w:r>
    </w:p>
    <w:p w:rsidR="00721A26" w:rsidRDefault="00721A26" w:rsidP="00721A26">
      <w:pPr>
        <w:spacing w:line="288" w:lineRule="auto"/>
        <w:jc w:val="center"/>
        <w:rPr>
          <w:rFonts w:ascii="Calibri" w:eastAsia="宋体" w:hAnsi="Calibri" w:cs="Times New Roman"/>
          <w:szCs w:val="21"/>
        </w:rPr>
      </w:pPr>
      <w:r>
        <w:rPr>
          <w:rFonts w:ascii="宋体" w:eastAsia="宋体" w:hAnsi="宋体" w:cs="Times New Roman"/>
          <w:b/>
          <w:noProof/>
          <w:color w:val="000000"/>
          <w:szCs w:val="21"/>
        </w:rPr>
        <w:lastRenderedPageBreak/>
        <w:drawing>
          <wp:anchor distT="0" distB="0" distL="114300" distR="114300" simplePos="0" relativeHeight="251666432" behindDoc="0" locked="0" layoutInCell="1" allowOverlap="1" wp14:anchorId="2C0D71B5" wp14:editId="1ACFEA6C">
            <wp:simplePos x="0" y="0"/>
            <wp:positionH relativeFrom="column">
              <wp:posOffset>171450</wp:posOffset>
            </wp:positionH>
            <wp:positionV relativeFrom="paragraph">
              <wp:posOffset>241300</wp:posOffset>
            </wp:positionV>
            <wp:extent cx="4932680" cy="2238375"/>
            <wp:effectExtent l="0" t="0" r="1270" b="9525"/>
            <wp:wrapTopAndBottom/>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4932680" cy="2238375"/>
                    </a:xfrm>
                    <a:prstGeom prst="rect">
                      <a:avLst/>
                    </a:prstGeom>
                    <a:noFill/>
                    <a:ln>
                      <a:noFill/>
                    </a:ln>
                  </pic:spPr>
                </pic:pic>
              </a:graphicData>
            </a:graphic>
          </wp:anchor>
        </w:drawing>
      </w:r>
    </w:p>
    <w:p w:rsidR="00721A26" w:rsidRDefault="00721A26" w:rsidP="00721A26">
      <w:pPr>
        <w:spacing w:line="288" w:lineRule="auto"/>
        <w:jc w:val="center"/>
        <w:rPr>
          <w:rFonts w:ascii="宋体" w:eastAsia="宋体" w:hAnsi="宋体" w:cs="Times New Roman"/>
          <w:color w:val="000000"/>
          <w:szCs w:val="21"/>
        </w:rPr>
      </w:pPr>
      <w:bookmarkStart w:id="20" w:name="_Toc512593887"/>
      <w:bookmarkStart w:id="21" w:name="_Toc450228832"/>
      <w:bookmarkStart w:id="22" w:name="_Toc448822897"/>
      <w:bookmarkStart w:id="23" w:name="_Toc469662528"/>
      <w:r>
        <w:rPr>
          <w:rFonts w:ascii="宋体" w:eastAsia="宋体" w:hAnsi="宋体" w:cs="Times New Roman" w:hint="eastAsia"/>
          <w:color w:val="000000"/>
          <w:szCs w:val="21"/>
        </w:rPr>
        <w:t>图</w:t>
      </w:r>
      <w:r>
        <w:rPr>
          <w:rFonts w:ascii="宋体" w:eastAsia="宋体" w:hAnsi="宋体" w:cs="Times New Roman"/>
          <w:color w:val="000000"/>
          <w:szCs w:val="21"/>
        </w:rPr>
        <w:t>3.6</w:t>
      </w:r>
      <w:r>
        <w:rPr>
          <w:rFonts w:ascii="宋体" w:eastAsia="宋体" w:hAnsi="宋体" w:cs="Times New Roman" w:hint="eastAsia"/>
          <w:color w:val="000000"/>
          <w:szCs w:val="21"/>
        </w:rPr>
        <w:t>：下学年各期预警学生的挂科门数对比</w:t>
      </w:r>
    </w:p>
    <w:p w:rsidR="00721A26" w:rsidRDefault="00721A26" w:rsidP="00721A26">
      <w:pPr>
        <w:spacing w:line="288" w:lineRule="auto"/>
        <w:ind w:firstLineChars="200" w:firstLine="420"/>
        <w:rPr>
          <w:rFonts w:ascii="宋体" w:eastAsia="宋体" w:hAnsi="宋体" w:cs="Times New Roman"/>
          <w:b/>
          <w:color w:val="000000"/>
          <w:szCs w:val="21"/>
        </w:rPr>
      </w:pPr>
      <w:r>
        <w:rPr>
          <w:rFonts w:ascii="宋体" w:eastAsia="宋体" w:hAnsi="宋体" w:cs="Times New Roman" w:hint="eastAsia"/>
          <w:color w:val="000000"/>
          <w:szCs w:val="21"/>
        </w:rPr>
        <w:t>如上图</w:t>
      </w:r>
      <w:r>
        <w:rPr>
          <w:rFonts w:ascii="宋体" w:eastAsia="宋体" w:hAnsi="宋体" w:cs="Times New Roman"/>
          <w:color w:val="000000"/>
          <w:szCs w:val="21"/>
        </w:rPr>
        <w:t>3.5-3.6</w:t>
      </w:r>
      <w:r>
        <w:rPr>
          <w:rFonts w:ascii="宋体" w:eastAsia="宋体" w:hAnsi="宋体" w:cs="Times New Roman" w:hint="eastAsia"/>
          <w:color w:val="000000"/>
          <w:szCs w:val="21"/>
        </w:rPr>
        <w:t>所示，从各期预警学生</w:t>
      </w:r>
      <w:r>
        <w:rPr>
          <w:rFonts w:ascii="宋体" w:eastAsia="宋体" w:hAnsi="宋体" w:cs="Times New Roman"/>
          <w:color w:val="000000"/>
          <w:szCs w:val="21"/>
        </w:rPr>
        <w:t>不及格课程分布来看，趋向扁平化。</w:t>
      </w:r>
      <w:r>
        <w:rPr>
          <w:rFonts w:ascii="宋体" w:eastAsia="宋体" w:hAnsi="宋体" w:cs="Times New Roman" w:hint="eastAsia"/>
          <w:color w:val="000000"/>
          <w:szCs w:val="21"/>
        </w:rPr>
        <w:t>抛物线</w:t>
      </w:r>
      <w:r>
        <w:rPr>
          <w:rFonts w:ascii="宋体" w:eastAsia="宋体" w:hAnsi="宋体" w:cs="Times New Roman"/>
          <w:color w:val="000000"/>
          <w:szCs w:val="21"/>
        </w:rPr>
        <w:t>顶点</w:t>
      </w:r>
      <w:r>
        <w:rPr>
          <w:rFonts w:ascii="宋体" w:eastAsia="宋体" w:hAnsi="宋体" w:cs="Times New Roman" w:hint="eastAsia"/>
          <w:color w:val="000000"/>
          <w:szCs w:val="21"/>
        </w:rPr>
        <w:t>逐期</w:t>
      </w:r>
      <w:r>
        <w:rPr>
          <w:rFonts w:ascii="宋体" w:eastAsia="宋体" w:hAnsi="宋体" w:cs="Times New Roman"/>
          <w:color w:val="000000"/>
          <w:szCs w:val="21"/>
        </w:rPr>
        <w:t>降低</w:t>
      </w:r>
      <w:r>
        <w:rPr>
          <w:rFonts w:ascii="宋体" w:eastAsia="宋体" w:hAnsi="宋体" w:cs="Times New Roman" w:hint="eastAsia"/>
          <w:color w:val="000000"/>
          <w:szCs w:val="21"/>
        </w:rPr>
        <w:t>（集中</w:t>
      </w:r>
      <w:r>
        <w:rPr>
          <w:rFonts w:ascii="宋体" w:eastAsia="宋体" w:hAnsi="宋体" w:cs="Times New Roman"/>
          <w:color w:val="000000"/>
          <w:szCs w:val="21"/>
        </w:rPr>
        <w:t>挂科众数要低），</w:t>
      </w:r>
      <w:r>
        <w:rPr>
          <w:rFonts w:ascii="宋体" w:eastAsia="宋体" w:hAnsi="宋体" w:cs="Times New Roman" w:hint="eastAsia"/>
          <w:color w:val="000000"/>
          <w:szCs w:val="21"/>
        </w:rPr>
        <w:t>且</w:t>
      </w:r>
      <w:r>
        <w:rPr>
          <w:rFonts w:ascii="宋体" w:eastAsia="宋体" w:hAnsi="宋体" w:cs="Times New Roman"/>
          <w:color w:val="000000"/>
          <w:szCs w:val="21"/>
        </w:rPr>
        <w:t>准线</w:t>
      </w:r>
      <w:r>
        <w:rPr>
          <w:rFonts w:ascii="宋体" w:eastAsia="宋体" w:hAnsi="宋体" w:cs="Times New Roman" w:hint="eastAsia"/>
          <w:color w:val="000000"/>
          <w:szCs w:val="21"/>
        </w:rPr>
        <w:t>有</w:t>
      </w:r>
      <w:r>
        <w:rPr>
          <w:rFonts w:ascii="宋体" w:eastAsia="宋体" w:hAnsi="宋体" w:cs="Times New Roman"/>
          <w:color w:val="000000"/>
          <w:szCs w:val="21"/>
        </w:rPr>
        <w:t>向左移趋势</w:t>
      </w:r>
      <w:r>
        <w:rPr>
          <w:rFonts w:ascii="宋体" w:eastAsia="宋体" w:hAnsi="宋体" w:cs="Times New Roman" w:hint="eastAsia"/>
          <w:color w:val="000000"/>
          <w:szCs w:val="21"/>
        </w:rPr>
        <w:t>（较轻</w:t>
      </w:r>
      <w:r>
        <w:rPr>
          <w:rFonts w:ascii="宋体" w:eastAsia="宋体" w:hAnsi="宋体" w:cs="Times New Roman"/>
          <w:color w:val="000000"/>
          <w:szCs w:val="21"/>
        </w:rPr>
        <w:t>挂科门次）</w:t>
      </w:r>
      <w:r>
        <w:rPr>
          <w:rFonts w:ascii="宋体" w:eastAsia="宋体" w:hAnsi="宋体" w:cs="Times New Roman" w:hint="eastAsia"/>
          <w:color w:val="000000"/>
          <w:szCs w:val="21"/>
        </w:rPr>
        <w:t>，抛物线</w:t>
      </w:r>
      <w:r>
        <w:rPr>
          <w:rFonts w:ascii="宋体" w:eastAsia="宋体" w:hAnsi="宋体" w:cs="Times New Roman"/>
          <w:color w:val="000000"/>
          <w:szCs w:val="21"/>
        </w:rPr>
        <w:t>与纵轴</w:t>
      </w:r>
      <w:r>
        <w:rPr>
          <w:rFonts w:ascii="宋体" w:eastAsia="宋体" w:hAnsi="宋体" w:cs="Times New Roman" w:hint="eastAsia"/>
          <w:color w:val="000000"/>
          <w:szCs w:val="21"/>
        </w:rPr>
        <w:t>交点逐期</w:t>
      </w:r>
      <w:r>
        <w:rPr>
          <w:rFonts w:ascii="宋体" w:eastAsia="宋体" w:hAnsi="宋体" w:cs="Times New Roman"/>
          <w:color w:val="000000"/>
          <w:szCs w:val="21"/>
        </w:rPr>
        <w:t>上移，</w:t>
      </w:r>
      <w:r>
        <w:rPr>
          <w:rFonts w:ascii="宋体" w:eastAsia="宋体" w:hAnsi="宋体" w:cs="Times New Roman" w:hint="eastAsia"/>
          <w:color w:val="000000"/>
          <w:szCs w:val="21"/>
        </w:rPr>
        <w:t>即</w:t>
      </w:r>
      <w:r>
        <w:rPr>
          <w:rFonts w:ascii="宋体" w:eastAsia="宋体" w:hAnsi="宋体" w:cs="Times New Roman"/>
          <w:color w:val="000000"/>
          <w:szCs w:val="21"/>
        </w:rPr>
        <w:t>挂科</w:t>
      </w:r>
      <w:r>
        <w:rPr>
          <w:rFonts w:ascii="宋体" w:eastAsia="宋体" w:hAnsi="宋体" w:cs="Times New Roman" w:hint="eastAsia"/>
          <w:color w:val="000000"/>
          <w:szCs w:val="21"/>
        </w:rPr>
        <w:t>1门</w:t>
      </w:r>
      <w:r>
        <w:rPr>
          <w:rFonts w:ascii="宋体" w:eastAsia="宋体" w:hAnsi="宋体" w:cs="Times New Roman"/>
          <w:color w:val="000000"/>
          <w:szCs w:val="21"/>
        </w:rPr>
        <w:t>预警线上移，</w:t>
      </w:r>
      <w:r>
        <w:rPr>
          <w:rFonts w:ascii="宋体" w:eastAsia="宋体" w:hAnsi="宋体" w:cs="Times New Roman" w:hint="eastAsia"/>
          <w:color w:val="000000"/>
          <w:szCs w:val="21"/>
        </w:rPr>
        <w:t>预警</w:t>
      </w:r>
      <w:r>
        <w:rPr>
          <w:rFonts w:ascii="宋体" w:eastAsia="宋体" w:hAnsi="宋体" w:cs="Times New Roman"/>
          <w:color w:val="000000"/>
          <w:szCs w:val="21"/>
        </w:rPr>
        <w:t>严格程度逐期编高；准线右侧</w:t>
      </w:r>
      <w:r>
        <w:rPr>
          <w:rFonts w:ascii="宋体" w:eastAsia="宋体" w:hAnsi="宋体" w:cs="Times New Roman" w:hint="eastAsia"/>
          <w:color w:val="000000"/>
          <w:szCs w:val="21"/>
        </w:rPr>
        <w:t>3-12门次</w:t>
      </w:r>
      <w:r>
        <w:rPr>
          <w:rFonts w:ascii="宋体" w:eastAsia="宋体" w:hAnsi="宋体" w:cs="Times New Roman"/>
          <w:color w:val="000000"/>
          <w:szCs w:val="21"/>
        </w:rPr>
        <w:t>的挂科</w:t>
      </w:r>
      <w:r>
        <w:rPr>
          <w:rFonts w:ascii="宋体" w:eastAsia="宋体" w:hAnsi="宋体" w:cs="Times New Roman" w:hint="eastAsia"/>
          <w:color w:val="000000"/>
          <w:szCs w:val="21"/>
        </w:rPr>
        <w:t>人数</w:t>
      </w:r>
      <w:r>
        <w:rPr>
          <w:rFonts w:ascii="宋体" w:eastAsia="宋体" w:hAnsi="宋体" w:cs="Times New Roman"/>
          <w:color w:val="000000"/>
          <w:szCs w:val="21"/>
        </w:rPr>
        <w:t>逐期降低，</w:t>
      </w:r>
      <w:r>
        <w:rPr>
          <w:rFonts w:ascii="宋体" w:eastAsia="宋体" w:hAnsi="宋体" w:cs="Times New Roman" w:hint="eastAsia"/>
          <w:color w:val="000000"/>
          <w:szCs w:val="21"/>
        </w:rPr>
        <w:t>充分</w:t>
      </w:r>
      <w:r>
        <w:rPr>
          <w:rFonts w:ascii="宋体" w:eastAsia="宋体" w:hAnsi="宋体" w:cs="Times New Roman"/>
          <w:color w:val="000000"/>
          <w:szCs w:val="21"/>
        </w:rPr>
        <w:t>佐证了</w:t>
      </w:r>
      <w:r>
        <w:rPr>
          <w:rFonts w:ascii="宋体" w:eastAsia="宋体" w:hAnsi="宋体" w:cs="Times New Roman" w:hint="eastAsia"/>
          <w:color w:val="000000"/>
          <w:szCs w:val="21"/>
        </w:rPr>
        <w:t>学业</w:t>
      </w:r>
      <w:r>
        <w:rPr>
          <w:rFonts w:ascii="宋体" w:eastAsia="宋体" w:hAnsi="宋体" w:cs="Times New Roman"/>
          <w:color w:val="000000"/>
          <w:szCs w:val="21"/>
        </w:rPr>
        <w:t>预警与帮扶对这一范围类的预警学生</w:t>
      </w:r>
      <w:r>
        <w:rPr>
          <w:rFonts w:ascii="宋体" w:eastAsia="宋体" w:hAnsi="宋体" w:cs="Times New Roman" w:hint="eastAsia"/>
          <w:color w:val="000000"/>
          <w:szCs w:val="21"/>
        </w:rPr>
        <w:t>起到</w:t>
      </w:r>
      <w:r>
        <w:rPr>
          <w:rFonts w:ascii="宋体" w:eastAsia="宋体" w:hAnsi="宋体" w:cs="Times New Roman"/>
          <w:color w:val="000000"/>
          <w:szCs w:val="21"/>
        </w:rPr>
        <w:t>一定效果</w:t>
      </w:r>
      <w:bookmarkEnd w:id="20"/>
      <w:bookmarkEnd w:id="21"/>
      <w:bookmarkEnd w:id="22"/>
      <w:bookmarkEnd w:id="23"/>
      <w:r>
        <w:rPr>
          <w:rFonts w:ascii="宋体" w:eastAsia="宋体" w:hAnsi="宋体" w:cs="Times New Roman" w:hint="eastAsia"/>
          <w:color w:val="000000"/>
          <w:szCs w:val="21"/>
        </w:rPr>
        <w:t>。</w:t>
      </w:r>
      <w:r>
        <w:rPr>
          <w:rFonts w:ascii="宋体" w:eastAsia="宋体" w:hAnsi="宋体" w:cs="Times New Roman"/>
          <w:b/>
          <w:color w:val="000000"/>
          <w:szCs w:val="21"/>
        </w:rPr>
        <w:t xml:space="preserve"> </w:t>
      </w:r>
    </w:p>
    <w:p w:rsidR="00721A26" w:rsidRDefault="00721A26" w:rsidP="00721A26">
      <w:pPr>
        <w:spacing w:line="288" w:lineRule="auto"/>
        <w:ind w:firstLineChars="250" w:firstLine="525"/>
        <w:rPr>
          <w:rFonts w:ascii="宋体" w:eastAsia="宋体" w:hAnsi="宋体" w:cs="Times New Roman"/>
          <w:b/>
          <w:color w:val="000000"/>
          <w:szCs w:val="21"/>
        </w:rPr>
      </w:pPr>
      <w:r>
        <w:rPr>
          <w:rFonts w:ascii="宋体" w:eastAsia="宋体" w:hAnsi="宋体" w:cs="Times New Roman"/>
          <w:noProof/>
          <w:color w:val="000000"/>
          <w:szCs w:val="21"/>
        </w:rPr>
        <w:drawing>
          <wp:anchor distT="0" distB="0" distL="114300" distR="114300" simplePos="0" relativeHeight="251667456" behindDoc="0" locked="0" layoutInCell="1" allowOverlap="1" wp14:anchorId="3560F785" wp14:editId="64046B54">
            <wp:simplePos x="0" y="0"/>
            <wp:positionH relativeFrom="column">
              <wp:posOffset>309245</wp:posOffset>
            </wp:positionH>
            <wp:positionV relativeFrom="paragraph">
              <wp:posOffset>396240</wp:posOffset>
            </wp:positionV>
            <wp:extent cx="4726940" cy="1695450"/>
            <wp:effectExtent l="0" t="0" r="16510" b="0"/>
            <wp:wrapTopAndBottom/>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4726940" cy="1695450"/>
                    </a:xfrm>
                    <a:prstGeom prst="rect">
                      <a:avLst/>
                    </a:prstGeom>
                    <a:noFill/>
                    <a:ln>
                      <a:noFill/>
                    </a:ln>
                    <a:effectLst/>
                  </pic:spPr>
                </pic:pic>
              </a:graphicData>
            </a:graphic>
          </wp:anchor>
        </w:drawing>
      </w:r>
      <w:r>
        <w:rPr>
          <w:rFonts w:ascii="宋体" w:eastAsia="宋体" w:hAnsi="宋体" w:cs="Times New Roman" w:hint="eastAsia"/>
          <w:b/>
          <w:color w:val="000000"/>
          <w:szCs w:val="21"/>
        </w:rPr>
        <w:t>6.预警学生的类别组成</w:t>
      </w:r>
      <w:r>
        <w:rPr>
          <w:rFonts w:ascii="宋体" w:eastAsia="宋体" w:hAnsi="宋体" w:cs="Times New Roman"/>
          <w:b/>
          <w:color w:val="000000"/>
          <w:szCs w:val="21"/>
        </w:rPr>
        <w:t>持续稳定</w:t>
      </w:r>
    </w:p>
    <w:p w:rsidR="00721A26" w:rsidRDefault="00721A26" w:rsidP="00721A26">
      <w:pPr>
        <w:spacing w:line="288" w:lineRule="auto"/>
        <w:jc w:val="center"/>
        <w:rPr>
          <w:rFonts w:ascii="宋体" w:eastAsia="宋体" w:hAnsi="宋体" w:cs="Times New Roman"/>
          <w:color w:val="000000"/>
          <w:szCs w:val="21"/>
        </w:rPr>
      </w:pPr>
      <w:r>
        <w:rPr>
          <w:rFonts w:ascii="宋体" w:eastAsia="宋体" w:hAnsi="宋体" w:cs="Times New Roman" w:hint="eastAsia"/>
          <w:color w:val="000000"/>
          <w:szCs w:val="21"/>
        </w:rPr>
        <w:t>图</w:t>
      </w:r>
      <w:r>
        <w:rPr>
          <w:rFonts w:ascii="宋体" w:eastAsia="宋体" w:hAnsi="宋体" w:cs="Times New Roman"/>
          <w:color w:val="000000"/>
          <w:szCs w:val="21"/>
        </w:rPr>
        <w:t>3.7</w:t>
      </w:r>
      <w:r>
        <w:rPr>
          <w:rFonts w:ascii="宋体" w:eastAsia="宋体" w:hAnsi="宋体" w:cs="Times New Roman" w:hint="eastAsia"/>
          <w:color w:val="000000"/>
          <w:szCs w:val="21"/>
        </w:rPr>
        <w:t>：上学年各期预警学生的预警</w:t>
      </w:r>
      <w:r>
        <w:rPr>
          <w:rFonts w:ascii="宋体" w:eastAsia="宋体" w:hAnsi="宋体" w:cs="Times New Roman"/>
          <w:color w:val="000000"/>
          <w:szCs w:val="21"/>
        </w:rPr>
        <w:t>类别</w:t>
      </w:r>
      <w:r>
        <w:rPr>
          <w:rFonts w:ascii="宋体" w:eastAsia="宋体" w:hAnsi="宋体" w:cs="Times New Roman" w:hint="eastAsia"/>
          <w:color w:val="000000"/>
          <w:szCs w:val="21"/>
        </w:rPr>
        <w:t>对比</w:t>
      </w:r>
    </w:p>
    <w:p w:rsidR="00721A26" w:rsidRDefault="00721A26" w:rsidP="00721A26">
      <w:pPr>
        <w:spacing w:line="288" w:lineRule="auto"/>
        <w:jc w:val="center"/>
        <w:rPr>
          <w:rFonts w:ascii="宋体" w:eastAsia="宋体" w:hAnsi="宋体" w:cs="Times New Roman"/>
          <w:color w:val="000000"/>
          <w:szCs w:val="21"/>
        </w:rPr>
      </w:pPr>
      <w:r>
        <w:rPr>
          <w:rFonts w:ascii="宋体" w:eastAsia="宋体" w:hAnsi="宋体" w:cs="Times New Roman"/>
          <w:noProof/>
          <w:color w:val="000000"/>
          <w:szCs w:val="21"/>
        </w:rPr>
        <w:lastRenderedPageBreak/>
        <w:drawing>
          <wp:anchor distT="0" distB="0" distL="114300" distR="114300" simplePos="0" relativeHeight="251668480" behindDoc="0" locked="0" layoutInCell="1" allowOverlap="1" wp14:anchorId="18965055" wp14:editId="5994860C">
            <wp:simplePos x="0" y="0"/>
            <wp:positionH relativeFrom="column">
              <wp:posOffset>0</wp:posOffset>
            </wp:positionH>
            <wp:positionV relativeFrom="paragraph">
              <wp:posOffset>139065</wp:posOffset>
            </wp:positionV>
            <wp:extent cx="5269865" cy="1866900"/>
            <wp:effectExtent l="0" t="0" r="6985" b="0"/>
            <wp:wrapTopAndBottom/>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5269865" cy="1866900"/>
                    </a:xfrm>
                    <a:prstGeom prst="rect">
                      <a:avLst/>
                    </a:prstGeom>
                    <a:noFill/>
                    <a:ln>
                      <a:noFill/>
                    </a:ln>
                    <a:effectLst/>
                  </pic:spPr>
                </pic:pic>
              </a:graphicData>
            </a:graphic>
          </wp:anchor>
        </w:drawing>
      </w:r>
      <w:r>
        <w:rPr>
          <w:rFonts w:ascii="宋体" w:eastAsia="宋体" w:hAnsi="宋体" w:cs="Times New Roman" w:hint="eastAsia"/>
          <w:color w:val="000000"/>
          <w:szCs w:val="21"/>
        </w:rPr>
        <w:t>图</w:t>
      </w:r>
      <w:r>
        <w:rPr>
          <w:rFonts w:ascii="宋体" w:eastAsia="宋体" w:hAnsi="宋体" w:cs="Times New Roman"/>
          <w:color w:val="000000"/>
          <w:szCs w:val="21"/>
        </w:rPr>
        <w:t>3.8</w:t>
      </w:r>
      <w:r>
        <w:rPr>
          <w:rFonts w:ascii="宋体" w:eastAsia="宋体" w:hAnsi="宋体" w:cs="Times New Roman" w:hint="eastAsia"/>
          <w:color w:val="000000"/>
          <w:szCs w:val="21"/>
        </w:rPr>
        <w:t>：下学年各期预警学生的预警</w:t>
      </w:r>
      <w:r>
        <w:rPr>
          <w:rFonts w:ascii="宋体" w:eastAsia="宋体" w:hAnsi="宋体" w:cs="Times New Roman"/>
          <w:color w:val="000000"/>
          <w:szCs w:val="21"/>
        </w:rPr>
        <w:t>类别</w:t>
      </w:r>
      <w:r>
        <w:rPr>
          <w:rFonts w:ascii="宋体" w:eastAsia="宋体" w:hAnsi="宋体" w:cs="Times New Roman" w:hint="eastAsia"/>
          <w:color w:val="000000"/>
          <w:szCs w:val="21"/>
        </w:rPr>
        <w:t>对比</w:t>
      </w:r>
    </w:p>
    <w:p w:rsidR="00721A26" w:rsidRDefault="00721A26" w:rsidP="00721A26">
      <w:pPr>
        <w:spacing w:line="288" w:lineRule="auto"/>
        <w:ind w:firstLine="420"/>
        <w:rPr>
          <w:rFonts w:ascii="宋体" w:eastAsia="宋体" w:hAnsi="宋体" w:cs="Times New Roman"/>
          <w:color w:val="000000"/>
          <w:szCs w:val="21"/>
        </w:rPr>
      </w:pPr>
    </w:p>
    <w:p w:rsidR="00721A26" w:rsidRDefault="00721A26" w:rsidP="00721A26">
      <w:pPr>
        <w:spacing w:line="288" w:lineRule="auto"/>
        <w:ind w:firstLine="420"/>
        <w:rPr>
          <w:rFonts w:ascii="宋体" w:eastAsia="宋体" w:hAnsi="宋体" w:cs="Times New Roman"/>
          <w:color w:val="000000"/>
          <w:szCs w:val="21"/>
        </w:rPr>
      </w:pPr>
      <w:r>
        <w:rPr>
          <w:rFonts w:ascii="宋体" w:eastAsia="宋体" w:hAnsi="宋体" w:cs="Times New Roman" w:hint="eastAsia"/>
          <w:color w:val="000000"/>
          <w:szCs w:val="21"/>
        </w:rPr>
        <w:t>如上</w:t>
      </w:r>
      <w:r>
        <w:rPr>
          <w:rFonts w:ascii="宋体" w:eastAsia="宋体" w:hAnsi="宋体" w:cs="Times New Roman"/>
          <w:color w:val="000000"/>
          <w:szCs w:val="21"/>
        </w:rPr>
        <w:t>图</w:t>
      </w:r>
      <w:r>
        <w:rPr>
          <w:rFonts w:ascii="宋体" w:eastAsia="宋体" w:hAnsi="宋体" w:cs="Times New Roman" w:hint="eastAsia"/>
          <w:color w:val="000000"/>
          <w:szCs w:val="21"/>
        </w:rPr>
        <w:t>3.</w:t>
      </w:r>
      <w:r>
        <w:rPr>
          <w:rFonts w:ascii="宋体" w:eastAsia="宋体" w:hAnsi="宋体" w:cs="Times New Roman"/>
          <w:color w:val="000000"/>
          <w:szCs w:val="21"/>
        </w:rPr>
        <w:t>7-3.8</w:t>
      </w:r>
      <w:r>
        <w:rPr>
          <w:rFonts w:ascii="宋体" w:eastAsia="宋体" w:hAnsi="宋体" w:cs="Times New Roman" w:hint="eastAsia"/>
          <w:color w:val="000000"/>
          <w:szCs w:val="21"/>
        </w:rPr>
        <w:t>所示，各期</w:t>
      </w:r>
      <w:r>
        <w:rPr>
          <w:rFonts w:ascii="宋体" w:eastAsia="宋体" w:hAnsi="宋体" w:cs="Times New Roman"/>
          <w:color w:val="000000"/>
          <w:szCs w:val="21"/>
        </w:rPr>
        <w:t>预警</w:t>
      </w:r>
      <w:r>
        <w:rPr>
          <w:rFonts w:ascii="宋体" w:eastAsia="宋体" w:hAnsi="宋体" w:cs="Times New Roman" w:hint="eastAsia"/>
          <w:color w:val="000000"/>
          <w:szCs w:val="21"/>
        </w:rPr>
        <w:t>结构</w:t>
      </w:r>
      <w:r>
        <w:rPr>
          <w:rFonts w:ascii="宋体" w:eastAsia="宋体" w:hAnsi="宋体" w:cs="Times New Roman"/>
          <w:color w:val="000000"/>
          <w:szCs w:val="21"/>
        </w:rPr>
        <w:t>的层次</w:t>
      </w:r>
      <w:r>
        <w:rPr>
          <w:rFonts w:ascii="宋体" w:eastAsia="宋体" w:hAnsi="宋体" w:cs="Times New Roman" w:hint="eastAsia"/>
          <w:color w:val="000000"/>
          <w:szCs w:val="21"/>
        </w:rPr>
        <w:t>逐渐</w:t>
      </w:r>
      <w:r>
        <w:rPr>
          <w:rFonts w:ascii="宋体" w:eastAsia="宋体" w:hAnsi="宋体" w:cs="Times New Roman"/>
          <w:color w:val="000000"/>
          <w:szCs w:val="21"/>
        </w:rPr>
        <w:t>明显，</w:t>
      </w:r>
      <w:r>
        <w:rPr>
          <w:rFonts w:ascii="宋体" w:eastAsia="宋体" w:hAnsi="宋体" w:cs="Times New Roman" w:hint="eastAsia"/>
          <w:color w:val="000000"/>
          <w:szCs w:val="21"/>
        </w:rPr>
        <w:t>高</w:t>
      </w:r>
      <w:r>
        <w:rPr>
          <w:rFonts w:ascii="宋体" w:eastAsia="宋体" w:hAnsi="宋体" w:cs="Times New Roman"/>
          <w:color w:val="000000"/>
          <w:szCs w:val="21"/>
        </w:rPr>
        <w:t>程度预警</w:t>
      </w:r>
      <w:r>
        <w:rPr>
          <w:rFonts w:ascii="宋体" w:eastAsia="宋体" w:hAnsi="宋体" w:cs="Times New Roman" w:hint="eastAsia"/>
          <w:color w:val="000000"/>
          <w:szCs w:val="21"/>
        </w:rPr>
        <w:t>逐期</w:t>
      </w:r>
      <w:r>
        <w:rPr>
          <w:rFonts w:ascii="宋体" w:eastAsia="宋体" w:hAnsi="宋体" w:cs="Times New Roman"/>
          <w:color w:val="000000"/>
          <w:szCs w:val="21"/>
        </w:rPr>
        <w:t>得到</w:t>
      </w:r>
      <w:r>
        <w:rPr>
          <w:rFonts w:ascii="宋体" w:eastAsia="宋体" w:hAnsi="宋体" w:cs="Times New Roman" w:hint="eastAsia"/>
          <w:color w:val="000000"/>
          <w:szCs w:val="21"/>
        </w:rPr>
        <w:t>一定控制。蓝色</w:t>
      </w:r>
      <w:r>
        <w:rPr>
          <w:rFonts w:ascii="宋体" w:eastAsia="宋体" w:hAnsi="宋体" w:cs="Times New Roman"/>
          <w:color w:val="000000"/>
          <w:szCs w:val="21"/>
        </w:rPr>
        <w:t>预警比例最高</w:t>
      </w:r>
      <w:r>
        <w:rPr>
          <w:rFonts w:ascii="宋体" w:eastAsia="宋体" w:hAnsi="宋体" w:cs="Times New Roman" w:hint="eastAsia"/>
          <w:color w:val="000000"/>
          <w:szCs w:val="21"/>
        </w:rPr>
        <w:t>，占</w:t>
      </w:r>
      <w:r>
        <w:rPr>
          <w:rFonts w:ascii="宋体" w:eastAsia="宋体" w:hAnsi="宋体" w:cs="Times New Roman"/>
          <w:color w:val="000000"/>
          <w:szCs w:val="21"/>
        </w:rPr>
        <w:t>近</w:t>
      </w:r>
      <w:r>
        <w:rPr>
          <w:rFonts w:ascii="宋体" w:eastAsia="宋体" w:hAnsi="宋体" w:cs="Times New Roman" w:hint="eastAsia"/>
          <w:color w:val="000000"/>
          <w:szCs w:val="21"/>
        </w:rPr>
        <w:t>30</w:t>
      </w:r>
      <w:r>
        <w:rPr>
          <w:rFonts w:ascii="宋体" w:eastAsia="宋体" w:hAnsi="宋体" w:cs="Times New Roman"/>
          <w:color w:val="000000"/>
          <w:szCs w:val="21"/>
        </w:rPr>
        <w:t>%，黄色和橙色预警</w:t>
      </w:r>
      <w:r>
        <w:rPr>
          <w:rFonts w:ascii="宋体" w:eastAsia="宋体" w:hAnsi="宋体" w:cs="Times New Roman" w:hint="eastAsia"/>
          <w:color w:val="000000"/>
          <w:szCs w:val="21"/>
        </w:rPr>
        <w:t>各占25</w:t>
      </w:r>
      <w:r>
        <w:rPr>
          <w:rFonts w:ascii="宋体" w:eastAsia="宋体" w:hAnsi="宋体" w:cs="Times New Roman"/>
          <w:color w:val="000000"/>
          <w:szCs w:val="21"/>
        </w:rPr>
        <w:t>%</w:t>
      </w:r>
      <w:r>
        <w:rPr>
          <w:rFonts w:ascii="宋体" w:eastAsia="宋体" w:hAnsi="宋体" w:cs="Times New Roman" w:hint="eastAsia"/>
          <w:color w:val="000000"/>
          <w:szCs w:val="21"/>
        </w:rPr>
        <w:t>，红色</w:t>
      </w:r>
      <w:r>
        <w:rPr>
          <w:rFonts w:ascii="宋体" w:eastAsia="宋体" w:hAnsi="宋体" w:cs="Times New Roman"/>
          <w:color w:val="000000"/>
          <w:szCs w:val="21"/>
        </w:rPr>
        <w:t>预警近</w:t>
      </w:r>
      <w:r>
        <w:rPr>
          <w:rFonts w:ascii="宋体" w:eastAsia="宋体" w:hAnsi="宋体" w:cs="Times New Roman" w:hint="eastAsia"/>
          <w:color w:val="000000"/>
          <w:szCs w:val="21"/>
        </w:rPr>
        <w:t>20</w:t>
      </w:r>
      <w:r>
        <w:rPr>
          <w:rFonts w:ascii="宋体" w:eastAsia="宋体" w:hAnsi="宋体" w:cs="Times New Roman"/>
          <w:color w:val="000000"/>
          <w:szCs w:val="21"/>
        </w:rPr>
        <w:t>%</w:t>
      </w:r>
      <w:r>
        <w:rPr>
          <w:rFonts w:ascii="宋体" w:eastAsia="宋体" w:hAnsi="宋体" w:cs="Times New Roman" w:hint="eastAsia"/>
          <w:color w:val="000000"/>
          <w:szCs w:val="21"/>
        </w:rPr>
        <w:t>。学业</w:t>
      </w:r>
      <w:r>
        <w:rPr>
          <w:rFonts w:ascii="宋体" w:eastAsia="宋体" w:hAnsi="宋体" w:cs="Times New Roman"/>
          <w:color w:val="000000"/>
          <w:szCs w:val="21"/>
        </w:rPr>
        <w:t>预警对红色预警学生效果不明显，</w:t>
      </w:r>
      <w:r>
        <w:rPr>
          <w:rFonts w:ascii="宋体" w:eastAsia="宋体" w:hAnsi="宋体" w:cs="Times New Roman" w:hint="eastAsia"/>
          <w:color w:val="000000"/>
          <w:szCs w:val="21"/>
        </w:rPr>
        <w:t>比例</w:t>
      </w:r>
      <w:r>
        <w:rPr>
          <w:rFonts w:ascii="宋体" w:eastAsia="宋体" w:hAnsi="宋体" w:cs="Times New Roman"/>
          <w:color w:val="000000"/>
          <w:szCs w:val="21"/>
        </w:rPr>
        <w:t>逐期微量增加</w:t>
      </w:r>
      <w:r>
        <w:rPr>
          <w:rFonts w:ascii="宋体" w:eastAsia="宋体" w:hAnsi="宋体" w:cs="Times New Roman" w:hint="eastAsia"/>
          <w:color w:val="000000"/>
          <w:szCs w:val="21"/>
        </w:rPr>
        <w:t>。</w:t>
      </w:r>
    </w:p>
    <w:p w:rsidR="00721A26" w:rsidRDefault="00721A26" w:rsidP="00721A26">
      <w:pPr>
        <w:spacing w:line="288" w:lineRule="auto"/>
        <w:ind w:firstLine="420"/>
        <w:rPr>
          <w:rFonts w:ascii="宋体" w:eastAsia="宋体" w:hAnsi="宋体" w:cs="Times New Roman"/>
          <w:b/>
          <w:color w:val="000000"/>
          <w:szCs w:val="21"/>
        </w:rPr>
      </w:pPr>
      <w:r>
        <w:rPr>
          <w:rFonts w:ascii="宋体" w:eastAsia="宋体" w:hAnsi="宋体" w:cs="Times New Roman"/>
          <w:b/>
          <w:color w:val="000000"/>
          <w:szCs w:val="21"/>
        </w:rPr>
        <w:t>7.</w:t>
      </w:r>
      <w:r>
        <w:rPr>
          <w:rFonts w:ascii="宋体" w:eastAsia="宋体" w:hAnsi="宋体" w:cs="Times New Roman" w:hint="eastAsia"/>
          <w:b/>
          <w:color w:val="000000"/>
          <w:szCs w:val="21"/>
        </w:rPr>
        <w:t>各学院预警学生不及格课程门次情况差异</w:t>
      </w:r>
      <w:r>
        <w:rPr>
          <w:rFonts w:ascii="宋体" w:eastAsia="宋体" w:hAnsi="宋体" w:cs="Times New Roman"/>
          <w:b/>
          <w:color w:val="000000"/>
          <w:szCs w:val="21"/>
        </w:rPr>
        <w:t>明显</w:t>
      </w:r>
    </w:p>
    <w:p w:rsidR="00721A26" w:rsidRDefault="00721A26" w:rsidP="00721A26">
      <w:pPr>
        <w:spacing w:line="288" w:lineRule="auto"/>
        <w:ind w:firstLineChars="200" w:firstLine="420"/>
        <w:rPr>
          <w:rFonts w:ascii="宋体" w:eastAsia="宋体" w:hAnsi="宋体" w:cs="Times New Roman"/>
          <w:color w:val="000000"/>
          <w:szCs w:val="21"/>
        </w:rPr>
      </w:pPr>
      <w:r>
        <w:rPr>
          <w:rFonts w:ascii="宋体" w:eastAsia="宋体" w:hAnsi="宋体" w:cs="Times New Roman" w:hint="eastAsia"/>
          <w:color w:val="000000"/>
          <w:szCs w:val="21"/>
        </w:rPr>
        <w:t>下表3.2是2017-2018学年第一学期各学院预警学生不及格课程，共</w:t>
      </w:r>
      <w:r>
        <w:rPr>
          <w:rFonts w:ascii="宋体" w:eastAsia="宋体" w:hAnsi="宋体" w:cs="Times New Roman"/>
          <w:color w:val="000000"/>
          <w:szCs w:val="21"/>
        </w:rPr>
        <w:t>12137</w:t>
      </w:r>
      <w:r>
        <w:rPr>
          <w:rFonts w:ascii="宋体" w:eastAsia="宋体" w:hAnsi="宋体" w:cs="Times New Roman" w:hint="eastAsia"/>
          <w:color w:val="000000"/>
          <w:szCs w:val="21"/>
        </w:rPr>
        <w:t>门，预警学生人均不及格</w:t>
      </w:r>
      <w:r>
        <w:rPr>
          <w:rFonts w:ascii="宋体" w:eastAsia="宋体" w:hAnsi="宋体" w:cs="Times New Roman"/>
          <w:color w:val="000000"/>
          <w:szCs w:val="21"/>
        </w:rPr>
        <w:t>门次5.90</w:t>
      </w:r>
      <w:r>
        <w:rPr>
          <w:rFonts w:ascii="宋体" w:eastAsia="宋体" w:hAnsi="宋体" w:cs="Times New Roman" w:hint="eastAsia"/>
          <w:color w:val="000000"/>
          <w:szCs w:val="21"/>
        </w:rPr>
        <w:t>门，全校学生有</w:t>
      </w:r>
      <w:r>
        <w:rPr>
          <w:rFonts w:ascii="宋体" w:eastAsia="宋体" w:hAnsi="宋体" w:cs="Times New Roman"/>
          <w:color w:val="000000"/>
          <w:szCs w:val="21"/>
        </w:rPr>
        <w:t>9095</w:t>
      </w:r>
      <w:r>
        <w:rPr>
          <w:rFonts w:ascii="宋体" w:eastAsia="宋体" w:hAnsi="宋体" w:cs="Times New Roman" w:hint="eastAsia"/>
          <w:color w:val="000000"/>
          <w:szCs w:val="21"/>
        </w:rPr>
        <w:t>人出现不及格课程共</w:t>
      </w:r>
      <w:r>
        <w:rPr>
          <w:rFonts w:ascii="宋体" w:eastAsia="宋体" w:hAnsi="宋体" w:cs="Times New Roman"/>
          <w:color w:val="000000"/>
          <w:szCs w:val="21"/>
        </w:rPr>
        <w:t>25472</w:t>
      </w:r>
      <w:r>
        <w:rPr>
          <w:rFonts w:ascii="宋体" w:eastAsia="宋体" w:hAnsi="宋体" w:cs="Times New Roman" w:hint="eastAsia"/>
          <w:color w:val="000000"/>
          <w:szCs w:val="21"/>
        </w:rPr>
        <w:t>门，人均不及格</w:t>
      </w:r>
      <w:r>
        <w:rPr>
          <w:rFonts w:ascii="宋体" w:eastAsia="宋体" w:hAnsi="宋体" w:cs="Times New Roman"/>
          <w:color w:val="000000"/>
          <w:szCs w:val="21"/>
        </w:rPr>
        <w:t>2.83</w:t>
      </w:r>
      <w:r>
        <w:rPr>
          <w:rFonts w:ascii="宋体" w:eastAsia="宋体" w:hAnsi="宋体" w:cs="Times New Roman" w:hint="eastAsia"/>
          <w:color w:val="000000"/>
          <w:szCs w:val="21"/>
        </w:rPr>
        <w:t>门次（学生基数</w:t>
      </w:r>
      <w:r>
        <w:rPr>
          <w:rFonts w:ascii="宋体" w:eastAsia="宋体" w:hAnsi="宋体" w:cs="Times New Roman"/>
          <w:color w:val="000000"/>
          <w:szCs w:val="21"/>
        </w:rPr>
        <w:t>是全校</w:t>
      </w:r>
      <w:r>
        <w:rPr>
          <w:rFonts w:ascii="宋体" w:eastAsia="宋体" w:hAnsi="宋体" w:cs="Times New Roman" w:hint="eastAsia"/>
          <w:color w:val="000000"/>
          <w:szCs w:val="21"/>
        </w:rPr>
        <w:t>有</w:t>
      </w:r>
      <w:r>
        <w:rPr>
          <w:rFonts w:ascii="宋体" w:eastAsia="宋体" w:hAnsi="宋体" w:cs="Times New Roman"/>
          <w:color w:val="000000"/>
          <w:szCs w:val="21"/>
        </w:rPr>
        <w:t>不及格记录学生）</w:t>
      </w:r>
      <w:r>
        <w:rPr>
          <w:rFonts w:ascii="宋体" w:eastAsia="宋体" w:hAnsi="宋体" w:cs="Times New Roman" w:hint="eastAsia"/>
          <w:color w:val="000000"/>
          <w:szCs w:val="21"/>
        </w:rPr>
        <w:t>，全校预警学生的不及格课程数量占全校不及格课程数量的</w:t>
      </w:r>
      <w:r>
        <w:rPr>
          <w:rFonts w:ascii="宋体" w:eastAsia="宋体" w:hAnsi="宋体" w:cs="Times New Roman"/>
          <w:color w:val="000000"/>
          <w:szCs w:val="21"/>
        </w:rPr>
        <w:t>47.15</w:t>
      </w:r>
      <w:r>
        <w:rPr>
          <w:rFonts w:ascii="宋体" w:eastAsia="宋体" w:hAnsi="宋体" w:cs="Times New Roman" w:hint="eastAsia"/>
          <w:color w:val="000000"/>
          <w:szCs w:val="21"/>
        </w:rPr>
        <w:t>%，结合各学院预警学生人均不及格</w:t>
      </w:r>
      <w:r>
        <w:rPr>
          <w:rFonts w:ascii="宋体" w:eastAsia="宋体" w:hAnsi="宋体" w:cs="Times New Roman"/>
          <w:color w:val="000000"/>
          <w:szCs w:val="21"/>
        </w:rPr>
        <w:t>课程门次</w:t>
      </w:r>
      <w:r>
        <w:rPr>
          <w:rFonts w:ascii="宋体" w:eastAsia="宋体" w:hAnsi="宋体" w:cs="Times New Roman" w:hint="eastAsia"/>
          <w:color w:val="000000"/>
          <w:szCs w:val="21"/>
        </w:rPr>
        <w:t>，全院不及格</w:t>
      </w:r>
      <w:r>
        <w:rPr>
          <w:rFonts w:ascii="宋体" w:eastAsia="宋体" w:hAnsi="宋体" w:cs="Times New Roman"/>
          <w:color w:val="000000"/>
          <w:szCs w:val="21"/>
        </w:rPr>
        <w:t>人均门次</w:t>
      </w:r>
      <w:r>
        <w:rPr>
          <w:rFonts w:ascii="宋体" w:eastAsia="宋体" w:hAnsi="宋体" w:cs="Times New Roman" w:hint="eastAsia"/>
          <w:color w:val="000000"/>
          <w:szCs w:val="21"/>
        </w:rPr>
        <w:t>，</w:t>
      </w:r>
      <w:r>
        <w:rPr>
          <w:rFonts w:ascii="宋体" w:eastAsia="宋体" w:hAnsi="宋体" w:cs="Times New Roman"/>
          <w:color w:val="000000"/>
          <w:szCs w:val="21"/>
        </w:rPr>
        <w:t>预警</w:t>
      </w:r>
      <w:r>
        <w:rPr>
          <w:rFonts w:ascii="宋体" w:eastAsia="宋体" w:hAnsi="宋体" w:cs="Times New Roman" w:hint="eastAsia"/>
          <w:color w:val="000000"/>
          <w:szCs w:val="21"/>
        </w:rPr>
        <w:t>/全院</w:t>
      </w:r>
      <w:r>
        <w:rPr>
          <w:rFonts w:ascii="宋体" w:eastAsia="宋体" w:hAnsi="宋体" w:cs="Times New Roman"/>
          <w:color w:val="000000"/>
          <w:szCs w:val="21"/>
        </w:rPr>
        <w:t>人均</w:t>
      </w:r>
      <w:r>
        <w:rPr>
          <w:rFonts w:ascii="宋体" w:eastAsia="宋体" w:hAnsi="宋体" w:cs="Times New Roman" w:hint="eastAsia"/>
          <w:color w:val="000000"/>
          <w:szCs w:val="21"/>
        </w:rPr>
        <w:t>比三类</w:t>
      </w:r>
      <w:r>
        <w:rPr>
          <w:rFonts w:ascii="宋体" w:eastAsia="宋体" w:hAnsi="宋体" w:cs="Times New Roman"/>
          <w:color w:val="000000"/>
          <w:szCs w:val="21"/>
        </w:rPr>
        <w:t>数据</w:t>
      </w:r>
      <w:r>
        <w:rPr>
          <w:rFonts w:ascii="宋体" w:eastAsia="宋体" w:hAnsi="宋体" w:cs="Times New Roman" w:hint="eastAsia"/>
          <w:color w:val="000000"/>
          <w:szCs w:val="21"/>
        </w:rPr>
        <w:t>将各学院分为6个类别和特征。</w:t>
      </w:r>
      <w:bookmarkStart w:id="24" w:name="_Toc464660161"/>
      <w:bookmarkStart w:id="25" w:name="_Toc512582479"/>
      <w:bookmarkStart w:id="26" w:name="_Toc464660081"/>
      <w:bookmarkStart w:id="27" w:name="_Toc478806104"/>
      <w:bookmarkStart w:id="28" w:name="_Toc470366476"/>
    </w:p>
    <w:p w:rsidR="00721A26" w:rsidRDefault="00721A26" w:rsidP="00721A26">
      <w:pPr>
        <w:spacing w:line="288" w:lineRule="auto"/>
        <w:jc w:val="center"/>
        <w:rPr>
          <w:rFonts w:ascii="宋体" w:eastAsia="宋体" w:hAnsi="宋体" w:cs="Times New Roman"/>
          <w:color w:val="000000"/>
          <w:szCs w:val="21"/>
        </w:rPr>
      </w:pPr>
      <w:r>
        <w:rPr>
          <w:rFonts w:ascii="宋体" w:eastAsia="宋体" w:hAnsi="宋体" w:cs="Times New Roman" w:hint="eastAsia"/>
          <w:color w:val="000000"/>
          <w:szCs w:val="21"/>
        </w:rPr>
        <w:t>表</w:t>
      </w:r>
      <w:r>
        <w:rPr>
          <w:rFonts w:ascii="宋体" w:eastAsia="宋体" w:hAnsi="宋体" w:cs="Times New Roman"/>
          <w:color w:val="000000"/>
          <w:szCs w:val="21"/>
        </w:rPr>
        <w:t>3.2</w:t>
      </w:r>
      <w:r>
        <w:rPr>
          <w:rFonts w:ascii="宋体" w:eastAsia="宋体" w:hAnsi="宋体" w:cs="Times New Roman" w:hint="eastAsia"/>
          <w:color w:val="000000"/>
          <w:szCs w:val="21"/>
        </w:rPr>
        <w:t>：2017-2018学年第一学期各学院预警学生不及格课程门次分布情况</w:t>
      </w:r>
      <w:bookmarkEnd w:id="24"/>
      <w:bookmarkEnd w:id="25"/>
      <w:bookmarkEnd w:id="26"/>
      <w:bookmarkEnd w:id="27"/>
      <w:bookmarkEnd w:id="28"/>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
        <w:gridCol w:w="1836"/>
        <w:gridCol w:w="578"/>
        <w:gridCol w:w="578"/>
        <w:gridCol w:w="578"/>
        <w:gridCol w:w="578"/>
        <w:gridCol w:w="1836"/>
        <w:gridCol w:w="578"/>
        <w:gridCol w:w="578"/>
        <w:gridCol w:w="578"/>
      </w:tblGrid>
      <w:tr w:rsidR="00721A26" w:rsidTr="00D90670">
        <w:trPr>
          <w:trHeight w:val="270"/>
          <w:jc w:val="center"/>
        </w:trPr>
        <w:tc>
          <w:tcPr>
            <w:tcW w:w="578" w:type="dxa"/>
            <w:shd w:val="clear" w:color="auto" w:fill="C6D9F0"/>
            <w:vAlign w:val="center"/>
          </w:tcPr>
          <w:p w:rsidR="00721A26" w:rsidRDefault="00721A26" w:rsidP="00D90670">
            <w:pPr>
              <w:spacing w:line="288" w:lineRule="auto"/>
              <w:jc w:val="center"/>
              <w:rPr>
                <w:rFonts w:ascii="宋体" w:eastAsia="宋体" w:hAnsi="宋体" w:cs="Times New Roman"/>
                <w:b/>
                <w:color w:val="000000"/>
                <w:sz w:val="18"/>
                <w:szCs w:val="18"/>
              </w:rPr>
            </w:pPr>
            <w:r>
              <w:rPr>
                <w:rFonts w:ascii="宋体" w:eastAsia="宋体" w:hAnsi="宋体" w:cs="Times New Roman" w:hint="eastAsia"/>
                <w:b/>
                <w:color w:val="000000"/>
                <w:sz w:val="18"/>
                <w:szCs w:val="18"/>
              </w:rPr>
              <w:t>序号</w:t>
            </w:r>
          </w:p>
        </w:tc>
        <w:tc>
          <w:tcPr>
            <w:tcW w:w="1836" w:type="dxa"/>
            <w:shd w:val="clear" w:color="auto" w:fill="C6D9F0"/>
            <w:vAlign w:val="center"/>
          </w:tcPr>
          <w:p w:rsidR="00721A26" w:rsidRDefault="00721A26" w:rsidP="00D90670">
            <w:pPr>
              <w:spacing w:line="288" w:lineRule="auto"/>
              <w:jc w:val="center"/>
              <w:rPr>
                <w:rFonts w:ascii="宋体" w:eastAsia="宋体" w:hAnsi="宋体" w:cs="Times New Roman"/>
                <w:b/>
                <w:color w:val="000000"/>
                <w:sz w:val="18"/>
                <w:szCs w:val="18"/>
              </w:rPr>
            </w:pPr>
            <w:r>
              <w:rPr>
                <w:rFonts w:ascii="宋体" w:eastAsia="宋体" w:hAnsi="宋体" w:cs="Times New Roman" w:hint="eastAsia"/>
                <w:b/>
                <w:color w:val="000000"/>
                <w:sz w:val="18"/>
                <w:szCs w:val="18"/>
              </w:rPr>
              <w:t>学院</w:t>
            </w:r>
          </w:p>
        </w:tc>
        <w:tc>
          <w:tcPr>
            <w:tcW w:w="578" w:type="dxa"/>
            <w:tcBorders>
              <w:bottom w:val="single" w:sz="4" w:space="0" w:color="auto"/>
            </w:tcBorders>
            <w:shd w:val="clear" w:color="auto" w:fill="C6D9F0"/>
            <w:vAlign w:val="center"/>
          </w:tcPr>
          <w:p w:rsidR="00721A26" w:rsidRDefault="00721A26" w:rsidP="00D90670">
            <w:pPr>
              <w:spacing w:line="288" w:lineRule="auto"/>
              <w:jc w:val="center"/>
              <w:rPr>
                <w:rFonts w:ascii="宋体" w:eastAsia="宋体" w:hAnsi="宋体" w:cs="Times New Roman"/>
                <w:b/>
                <w:color w:val="000000"/>
                <w:sz w:val="18"/>
                <w:szCs w:val="18"/>
              </w:rPr>
            </w:pPr>
            <w:r>
              <w:rPr>
                <w:rFonts w:ascii="宋体" w:eastAsia="宋体" w:hAnsi="宋体" w:cs="Times New Roman" w:hint="eastAsia"/>
                <w:b/>
                <w:color w:val="000000"/>
                <w:sz w:val="18"/>
                <w:szCs w:val="18"/>
              </w:rPr>
              <w:t>预警</w:t>
            </w:r>
          </w:p>
        </w:tc>
        <w:tc>
          <w:tcPr>
            <w:tcW w:w="578" w:type="dxa"/>
            <w:tcBorders>
              <w:bottom w:val="single" w:sz="4" w:space="0" w:color="auto"/>
            </w:tcBorders>
            <w:shd w:val="clear" w:color="auto" w:fill="C6D9F0"/>
            <w:vAlign w:val="center"/>
          </w:tcPr>
          <w:p w:rsidR="00721A26" w:rsidRDefault="00721A26" w:rsidP="00D90670">
            <w:pPr>
              <w:spacing w:line="288" w:lineRule="auto"/>
              <w:jc w:val="center"/>
              <w:rPr>
                <w:rFonts w:ascii="宋体" w:eastAsia="宋体" w:hAnsi="宋体" w:cs="Times New Roman"/>
                <w:b/>
                <w:color w:val="000000"/>
                <w:sz w:val="18"/>
                <w:szCs w:val="18"/>
              </w:rPr>
            </w:pPr>
            <w:r>
              <w:rPr>
                <w:rFonts w:ascii="宋体" w:eastAsia="宋体" w:hAnsi="宋体" w:cs="Times New Roman" w:hint="eastAsia"/>
                <w:b/>
                <w:color w:val="000000"/>
                <w:sz w:val="18"/>
                <w:szCs w:val="18"/>
              </w:rPr>
              <w:t>全院</w:t>
            </w:r>
          </w:p>
        </w:tc>
        <w:tc>
          <w:tcPr>
            <w:tcW w:w="578" w:type="dxa"/>
            <w:shd w:val="clear" w:color="auto" w:fill="C6D9F0"/>
            <w:vAlign w:val="center"/>
          </w:tcPr>
          <w:p w:rsidR="00721A26" w:rsidRDefault="00721A26" w:rsidP="00D90670">
            <w:pPr>
              <w:spacing w:line="288" w:lineRule="auto"/>
              <w:jc w:val="center"/>
              <w:rPr>
                <w:rFonts w:ascii="宋体" w:eastAsia="宋体" w:hAnsi="宋体" w:cs="Times New Roman"/>
                <w:b/>
                <w:color w:val="000000"/>
                <w:sz w:val="18"/>
                <w:szCs w:val="18"/>
              </w:rPr>
            </w:pPr>
            <w:r>
              <w:rPr>
                <w:rFonts w:ascii="宋体" w:eastAsia="宋体" w:hAnsi="宋体" w:cs="Times New Roman" w:hint="eastAsia"/>
                <w:b/>
                <w:color w:val="000000"/>
                <w:sz w:val="18"/>
                <w:szCs w:val="18"/>
              </w:rPr>
              <w:t>聚类</w:t>
            </w:r>
          </w:p>
        </w:tc>
        <w:tc>
          <w:tcPr>
            <w:tcW w:w="578" w:type="dxa"/>
            <w:shd w:val="clear" w:color="auto" w:fill="C6D9F0"/>
            <w:vAlign w:val="center"/>
          </w:tcPr>
          <w:p w:rsidR="00721A26" w:rsidRDefault="00721A26" w:rsidP="00D90670">
            <w:pPr>
              <w:spacing w:line="288" w:lineRule="auto"/>
              <w:jc w:val="center"/>
              <w:rPr>
                <w:rFonts w:ascii="宋体" w:eastAsia="宋体" w:hAnsi="宋体" w:cs="Times New Roman"/>
                <w:b/>
                <w:color w:val="000000"/>
                <w:sz w:val="18"/>
                <w:szCs w:val="18"/>
              </w:rPr>
            </w:pPr>
            <w:r>
              <w:rPr>
                <w:rFonts w:ascii="宋体" w:eastAsia="宋体" w:hAnsi="宋体" w:cs="Times New Roman" w:hint="eastAsia"/>
                <w:b/>
                <w:color w:val="000000"/>
                <w:sz w:val="18"/>
                <w:szCs w:val="18"/>
              </w:rPr>
              <w:t>序号</w:t>
            </w:r>
          </w:p>
        </w:tc>
        <w:tc>
          <w:tcPr>
            <w:tcW w:w="1836" w:type="dxa"/>
            <w:shd w:val="clear" w:color="auto" w:fill="C6D9F0"/>
            <w:vAlign w:val="center"/>
          </w:tcPr>
          <w:p w:rsidR="00721A26" w:rsidRDefault="00721A26" w:rsidP="00D90670">
            <w:pPr>
              <w:spacing w:line="288" w:lineRule="auto"/>
              <w:jc w:val="center"/>
              <w:rPr>
                <w:rFonts w:ascii="宋体" w:eastAsia="宋体" w:hAnsi="宋体" w:cs="Times New Roman"/>
                <w:b/>
                <w:color w:val="000000"/>
                <w:sz w:val="18"/>
                <w:szCs w:val="18"/>
              </w:rPr>
            </w:pPr>
            <w:r>
              <w:rPr>
                <w:rFonts w:ascii="宋体" w:eastAsia="宋体" w:hAnsi="宋体" w:cs="Times New Roman" w:hint="eastAsia"/>
                <w:b/>
                <w:color w:val="000000"/>
                <w:sz w:val="18"/>
                <w:szCs w:val="18"/>
              </w:rPr>
              <w:t>学院</w:t>
            </w:r>
          </w:p>
        </w:tc>
        <w:tc>
          <w:tcPr>
            <w:tcW w:w="578" w:type="dxa"/>
            <w:shd w:val="clear" w:color="auto" w:fill="C6D9F0"/>
            <w:vAlign w:val="center"/>
          </w:tcPr>
          <w:p w:rsidR="00721A26" w:rsidRDefault="00721A26" w:rsidP="00D90670">
            <w:pPr>
              <w:spacing w:line="288" w:lineRule="auto"/>
              <w:jc w:val="center"/>
              <w:rPr>
                <w:rFonts w:ascii="宋体" w:eastAsia="宋体" w:hAnsi="宋体" w:cs="Times New Roman"/>
                <w:b/>
                <w:color w:val="000000"/>
                <w:sz w:val="18"/>
                <w:szCs w:val="18"/>
              </w:rPr>
            </w:pPr>
            <w:r>
              <w:rPr>
                <w:rFonts w:ascii="宋体" w:eastAsia="宋体" w:hAnsi="宋体" w:cs="Times New Roman" w:hint="eastAsia"/>
                <w:b/>
                <w:color w:val="000000"/>
                <w:sz w:val="18"/>
                <w:szCs w:val="18"/>
              </w:rPr>
              <w:t>预警</w:t>
            </w:r>
          </w:p>
        </w:tc>
        <w:tc>
          <w:tcPr>
            <w:tcW w:w="578" w:type="dxa"/>
            <w:shd w:val="clear" w:color="auto" w:fill="C6D9F0"/>
            <w:vAlign w:val="center"/>
          </w:tcPr>
          <w:p w:rsidR="00721A26" w:rsidRDefault="00721A26" w:rsidP="00D90670">
            <w:pPr>
              <w:spacing w:line="288" w:lineRule="auto"/>
              <w:jc w:val="center"/>
              <w:rPr>
                <w:rFonts w:ascii="宋体" w:eastAsia="宋体" w:hAnsi="宋体" w:cs="Times New Roman"/>
                <w:b/>
                <w:color w:val="000000"/>
                <w:sz w:val="18"/>
                <w:szCs w:val="18"/>
              </w:rPr>
            </w:pPr>
            <w:r>
              <w:rPr>
                <w:rFonts w:ascii="宋体" w:eastAsia="宋体" w:hAnsi="宋体" w:cs="Times New Roman" w:hint="eastAsia"/>
                <w:b/>
                <w:color w:val="000000"/>
                <w:sz w:val="18"/>
                <w:szCs w:val="18"/>
              </w:rPr>
              <w:t>全院</w:t>
            </w:r>
          </w:p>
        </w:tc>
        <w:tc>
          <w:tcPr>
            <w:tcW w:w="578" w:type="dxa"/>
            <w:shd w:val="clear" w:color="auto" w:fill="C6D9F0"/>
            <w:vAlign w:val="center"/>
          </w:tcPr>
          <w:p w:rsidR="00721A26" w:rsidRDefault="00721A26" w:rsidP="00D90670">
            <w:pPr>
              <w:spacing w:line="288" w:lineRule="auto"/>
              <w:rPr>
                <w:rFonts w:ascii="宋体" w:eastAsia="宋体" w:hAnsi="宋体" w:cs="Times New Roman"/>
                <w:b/>
                <w:color w:val="000000"/>
                <w:sz w:val="18"/>
                <w:szCs w:val="18"/>
              </w:rPr>
            </w:pPr>
            <w:r>
              <w:rPr>
                <w:rFonts w:ascii="宋体" w:eastAsia="宋体" w:hAnsi="宋体" w:cs="Times New Roman" w:hint="eastAsia"/>
                <w:b/>
                <w:color w:val="000000"/>
                <w:sz w:val="18"/>
                <w:szCs w:val="18"/>
              </w:rPr>
              <w:t>聚类</w:t>
            </w:r>
          </w:p>
        </w:tc>
      </w:tr>
      <w:tr w:rsidR="00721A26" w:rsidTr="00D90670">
        <w:trPr>
          <w:trHeight w:val="270"/>
          <w:jc w:val="center"/>
        </w:trPr>
        <w:tc>
          <w:tcPr>
            <w:tcW w:w="578" w:type="dxa"/>
            <w:shd w:val="clear" w:color="auto" w:fill="auto"/>
            <w:vAlign w:val="center"/>
          </w:tcPr>
          <w:p w:rsidR="00721A26" w:rsidRDefault="00721A26" w:rsidP="00D90670">
            <w:pPr>
              <w:spacing w:line="288" w:lineRule="auto"/>
              <w:jc w:val="center"/>
              <w:rPr>
                <w:rFonts w:ascii="宋体" w:eastAsia="宋体" w:hAnsi="宋体" w:cs="Times New Roman"/>
                <w:color w:val="000000"/>
                <w:sz w:val="18"/>
                <w:szCs w:val="18"/>
              </w:rPr>
            </w:pPr>
            <w:r>
              <w:rPr>
                <w:rFonts w:ascii="宋体" w:eastAsia="宋体" w:hAnsi="宋体" w:cs="Times New Roman" w:hint="eastAsia"/>
                <w:color w:val="000000"/>
                <w:sz w:val="18"/>
                <w:szCs w:val="18"/>
              </w:rPr>
              <w:t>1</w:t>
            </w:r>
          </w:p>
        </w:tc>
        <w:tc>
          <w:tcPr>
            <w:tcW w:w="1836" w:type="dxa"/>
            <w:shd w:val="clear" w:color="auto" w:fill="auto"/>
            <w:vAlign w:val="center"/>
          </w:tcPr>
          <w:p w:rsidR="00721A26" w:rsidRDefault="00721A26" w:rsidP="00D90670">
            <w:pPr>
              <w:spacing w:line="288" w:lineRule="auto"/>
              <w:jc w:val="center"/>
              <w:rPr>
                <w:rFonts w:ascii="宋体" w:eastAsia="宋体" w:hAnsi="宋体" w:cs="Times New Roman"/>
                <w:color w:val="000000"/>
                <w:sz w:val="18"/>
                <w:szCs w:val="18"/>
              </w:rPr>
            </w:pPr>
            <w:r>
              <w:rPr>
                <w:rFonts w:ascii="宋体" w:eastAsia="宋体" w:hAnsi="宋体" w:cs="Times New Roman" w:hint="eastAsia"/>
                <w:color w:val="000000"/>
                <w:sz w:val="18"/>
                <w:szCs w:val="18"/>
              </w:rPr>
              <w:t>法学院</w:t>
            </w:r>
          </w:p>
        </w:tc>
        <w:tc>
          <w:tcPr>
            <w:tcW w:w="578" w:type="dxa"/>
            <w:tcBorders>
              <w:top w:val="single" w:sz="4" w:space="0" w:color="auto"/>
              <w:left w:val="nil"/>
              <w:bottom w:val="single" w:sz="4" w:space="0" w:color="auto"/>
              <w:right w:val="single" w:sz="4" w:space="0" w:color="auto"/>
            </w:tcBorders>
            <w:shd w:val="clear" w:color="000000" w:fill="FFFFFF"/>
          </w:tcPr>
          <w:p w:rsidR="00721A26" w:rsidRDefault="00721A26" w:rsidP="00D90670">
            <w:pPr>
              <w:spacing w:line="288" w:lineRule="auto"/>
              <w:jc w:val="center"/>
              <w:rPr>
                <w:rFonts w:ascii="宋体" w:eastAsia="宋体" w:hAnsi="宋体" w:cs="Times New Roman"/>
                <w:color w:val="000000"/>
                <w:sz w:val="18"/>
                <w:szCs w:val="18"/>
              </w:rPr>
            </w:pPr>
            <w:r>
              <w:rPr>
                <w:rFonts w:ascii="宋体" w:eastAsia="宋体" w:hAnsi="宋体" w:cs="Times New Roman"/>
                <w:color w:val="000000"/>
                <w:sz w:val="18"/>
                <w:szCs w:val="18"/>
              </w:rPr>
              <w:t>368</w:t>
            </w:r>
          </w:p>
        </w:tc>
        <w:tc>
          <w:tcPr>
            <w:tcW w:w="578" w:type="dxa"/>
            <w:tcBorders>
              <w:top w:val="single" w:sz="4" w:space="0" w:color="auto"/>
              <w:left w:val="single" w:sz="4" w:space="0" w:color="auto"/>
              <w:bottom w:val="single" w:sz="4" w:space="0" w:color="auto"/>
              <w:right w:val="single" w:sz="4" w:space="0" w:color="auto"/>
            </w:tcBorders>
            <w:shd w:val="clear" w:color="000000" w:fill="FFFFFF"/>
          </w:tcPr>
          <w:p w:rsidR="00721A26" w:rsidRDefault="00721A26" w:rsidP="00D90670">
            <w:pPr>
              <w:spacing w:line="288" w:lineRule="auto"/>
              <w:jc w:val="center"/>
              <w:rPr>
                <w:rFonts w:ascii="宋体" w:eastAsia="宋体" w:hAnsi="宋体" w:cs="Times New Roman"/>
                <w:color w:val="000000"/>
                <w:sz w:val="18"/>
                <w:szCs w:val="18"/>
              </w:rPr>
            </w:pPr>
            <w:r>
              <w:rPr>
                <w:rFonts w:ascii="宋体" w:eastAsia="宋体" w:hAnsi="宋体" w:cs="Times New Roman"/>
                <w:color w:val="000000"/>
                <w:sz w:val="18"/>
                <w:szCs w:val="18"/>
              </w:rPr>
              <w:t>1079</w:t>
            </w:r>
          </w:p>
        </w:tc>
        <w:tc>
          <w:tcPr>
            <w:tcW w:w="578" w:type="dxa"/>
            <w:tcBorders>
              <w:top w:val="single" w:sz="4" w:space="0" w:color="auto"/>
              <w:left w:val="single" w:sz="4" w:space="0" w:color="auto"/>
              <w:bottom w:val="single" w:sz="4" w:space="0" w:color="auto"/>
              <w:right w:val="single" w:sz="4" w:space="0" w:color="auto"/>
            </w:tcBorders>
            <w:shd w:val="clear" w:color="000000" w:fill="FFFFFF"/>
          </w:tcPr>
          <w:p w:rsidR="00721A26" w:rsidRDefault="00721A26" w:rsidP="00D90670">
            <w:pPr>
              <w:spacing w:line="288" w:lineRule="auto"/>
              <w:jc w:val="center"/>
              <w:rPr>
                <w:rFonts w:ascii="宋体" w:eastAsia="宋体" w:hAnsi="宋体" w:cs="Times New Roman"/>
                <w:color w:val="000000"/>
                <w:sz w:val="18"/>
                <w:szCs w:val="18"/>
              </w:rPr>
            </w:pPr>
            <w:r>
              <w:rPr>
                <w:rFonts w:ascii="宋体" w:eastAsia="宋体" w:hAnsi="宋体" w:cs="Times New Roman" w:hint="eastAsia"/>
                <w:color w:val="000000"/>
                <w:sz w:val="18"/>
                <w:szCs w:val="18"/>
              </w:rPr>
              <w:t>B</w:t>
            </w:r>
          </w:p>
        </w:tc>
        <w:tc>
          <w:tcPr>
            <w:tcW w:w="578" w:type="dxa"/>
            <w:tcBorders>
              <w:top w:val="single" w:sz="4" w:space="0" w:color="auto"/>
              <w:left w:val="single" w:sz="4" w:space="0" w:color="auto"/>
              <w:bottom w:val="single" w:sz="4" w:space="0" w:color="auto"/>
              <w:right w:val="single" w:sz="4" w:space="0" w:color="auto"/>
            </w:tcBorders>
            <w:shd w:val="clear" w:color="000000" w:fill="FFFFFF"/>
            <w:vAlign w:val="center"/>
          </w:tcPr>
          <w:p w:rsidR="00721A26" w:rsidRDefault="00721A26" w:rsidP="00D90670">
            <w:pPr>
              <w:spacing w:line="288" w:lineRule="auto"/>
              <w:jc w:val="center"/>
              <w:rPr>
                <w:rFonts w:ascii="宋体" w:eastAsia="宋体" w:hAnsi="宋体" w:cs="Times New Roman"/>
                <w:color w:val="000000"/>
                <w:sz w:val="18"/>
                <w:szCs w:val="18"/>
              </w:rPr>
            </w:pPr>
            <w:r>
              <w:rPr>
                <w:rFonts w:ascii="宋体" w:eastAsia="宋体" w:hAnsi="宋体" w:cs="Times New Roman" w:hint="eastAsia"/>
                <w:color w:val="000000"/>
                <w:sz w:val="18"/>
                <w:szCs w:val="18"/>
              </w:rPr>
              <w:t>11</w:t>
            </w:r>
          </w:p>
        </w:tc>
        <w:tc>
          <w:tcPr>
            <w:tcW w:w="1836" w:type="dxa"/>
            <w:tcBorders>
              <w:top w:val="single" w:sz="4" w:space="0" w:color="auto"/>
              <w:left w:val="single" w:sz="4" w:space="0" w:color="auto"/>
              <w:bottom w:val="single" w:sz="4" w:space="0" w:color="auto"/>
              <w:right w:val="single" w:sz="4" w:space="0" w:color="auto"/>
            </w:tcBorders>
            <w:shd w:val="clear" w:color="000000" w:fill="FFFFFF"/>
            <w:vAlign w:val="center"/>
          </w:tcPr>
          <w:p w:rsidR="00721A26" w:rsidRDefault="00721A26" w:rsidP="00D90670">
            <w:pPr>
              <w:spacing w:line="288" w:lineRule="auto"/>
              <w:jc w:val="center"/>
              <w:rPr>
                <w:rFonts w:ascii="宋体" w:eastAsia="宋体" w:hAnsi="宋体" w:cs="Times New Roman"/>
                <w:color w:val="000000"/>
                <w:sz w:val="18"/>
                <w:szCs w:val="18"/>
              </w:rPr>
            </w:pPr>
            <w:r>
              <w:rPr>
                <w:rFonts w:ascii="宋体" w:eastAsia="宋体" w:hAnsi="宋体" w:cs="Times New Roman" w:hint="eastAsia"/>
                <w:color w:val="000000"/>
                <w:sz w:val="18"/>
                <w:szCs w:val="18"/>
              </w:rPr>
              <w:t>计算机科学学院</w:t>
            </w:r>
          </w:p>
        </w:tc>
        <w:tc>
          <w:tcPr>
            <w:tcW w:w="578" w:type="dxa"/>
            <w:tcBorders>
              <w:top w:val="single" w:sz="4" w:space="0" w:color="auto"/>
              <w:left w:val="single" w:sz="4" w:space="0" w:color="auto"/>
              <w:bottom w:val="single" w:sz="4" w:space="0" w:color="auto"/>
              <w:right w:val="single" w:sz="4" w:space="0" w:color="auto"/>
            </w:tcBorders>
            <w:shd w:val="clear" w:color="000000" w:fill="FFFFFF"/>
          </w:tcPr>
          <w:p w:rsidR="00721A26" w:rsidRDefault="00721A26" w:rsidP="00D90670">
            <w:pPr>
              <w:spacing w:line="288" w:lineRule="auto"/>
              <w:jc w:val="center"/>
              <w:rPr>
                <w:rFonts w:ascii="宋体" w:eastAsia="宋体" w:hAnsi="宋体" w:cs="Times New Roman"/>
                <w:color w:val="000000"/>
                <w:sz w:val="18"/>
                <w:szCs w:val="18"/>
              </w:rPr>
            </w:pPr>
            <w:r>
              <w:rPr>
                <w:rFonts w:ascii="宋体" w:eastAsia="宋体" w:hAnsi="宋体" w:cs="Times New Roman"/>
                <w:color w:val="000000"/>
                <w:sz w:val="18"/>
                <w:szCs w:val="18"/>
              </w:rPr>
              <w:t>2113</w:t>
            </w:r>
          </w:p>
        </w:tc>
        <w:tc>
          <w:tcPr>
            <w:tcW w:w="578" w:type="dxa"/>
            <w:tcBorders>
              <w:top w:val="single" w:sz="4" w:space="0" w:color="auto"/>
              <w:left w:val="single" w:sz="4" w:space="0" w:color="auto"/>
              <w:bottom w:val="single" w:sz="4" w:space="0" w:color="auto"/>
              <w:right w:val="single" w:sz="4" w:space="0" w:color="auto"/>
            </w:tcBorders>
            <w:shd w:val="clear" w:color="000000" w:fill="FFFFFF"/>
          </w:tcPr>
          <w:p w:rsidR="00721A26" w:rsidRDefault="00721A26" w:rsidP="00D90670">
            <w:pPr>
              <w:spacing w:line="288" w:lineRule="auto"/>
              <w:jc w:val="center"/>
              <w:rPr>
                <w:rFonts w:ascii="宋体" w:eastAsia="宋体" w:hAnsi="宋体" w:cs="Times New Roman"/>
                <w:color w:val="000000"/>
                <w:sz w:val="18"/>
                <w:szCs w:val="18"/>
              </w:rPr>
            </w:pPr>
            <w:r>
              <w:rPr>
                <w:rFonts w:ascii="宋体" w:eastAsia="宋体" w:hAnsi="宋体" w:cs="Times New Roman"/>
                <w:color w:val="000000"/>
                <w:sz w:val="18"/>
                <w:szCs w:val="18"/>
              </w:rPr>
              <w:t>4644</w:t>
            </w:r>
          </w:p>
        </w:tc>
        <w:tc>
          <w:tcPr>
            <w:tcW w:w="578" w:type="dxa"/>
            <w:tcBorders>
              <w:top w:val="single" w:sz="4" w:space="0" w:color="auto"/>
              <w:left w:val="single" w:sz="4" w:space="0" w:color="auto"/>
              <w:bottom w:val="single" w:sz="4" w:space="0" w:color="auto"/>
              <w:right w:val="single" w:sz="4" w:space="0" w:color="auto"/>
            </w:tcBorders>
            <w:shd w:val="clear" w:color="000000" w:fill="FFFFFF"/>
          </w:tcPr>
          <w:p w:rsidR="00721A26" w:rsidRDefault="00721A26" w:rsidP="00D90670">
            <w:pPr>
              <w:spacing w:line="288" w:lineRule="auto"/>
              <w:jc w:val="center"/>
              <w:rPr>
                <w:rFonts w:ascii="宋体" w:eastAsia="宋体" w:hAnsi="宋体" w:cs="Times New Roman"/>
                <w:color w:val="000000"/>
                <w:sz w:val="18"/>
                <w:szCs w:val="18"/>
              </w:rPr>
            </w:pPr>
            <w:r>
              <w:rPr>
                <w:rFonts w:ascii="宋体" w:eastAsia="宋体" w:hAnsi="宋体" w:cs="Times New Roman" w:hint="eastAsia"/>
                <w:color w:val="000000"/>
                <w:sz w:val="18"/>
                <w:szCs w:val="18"/>
              </w:rPr>
              <w:t>E</w:t>
            </w:r>
          </w:p>
        </w:tc>
      </w:tr>
      <w:tr w:rsidR="00721A26" w:rsidTr="00D90670">
        <w:trPr>
          <w:trHeight w:val="270"/>
          <w:jc w:val="center"/>
        </w:trPr>
        <w:tc>
          <w:tcPr>
            <w:tcW w:w="578" w:type="dxa"/>
            <w:shd w:val="clear" w:color="auto" w:fill="auto"/>
            <w:vAlign w:val="center"/>
          </w:tcPr>
          <w:p w:rsidR="00721A26" w:rsidRDefault="00721A26" w:rsidP="00D90670">
            <w:pPr>
              <w:spacing w:line="288" w:lineRule="auto"/>
              <w:jc w:val="center"/>
              <w:rPr>
                <w:rFonts w:ascii="宋体" w:eastAsia="宋体" w:hAnsi="宋体" w:cs="Times New Roman"/>
                <w:color w:val="000000"/>
                <w:sz w:val="18"/>
                <w:szCs w:val="18"/>
              </w:rPr>
            </w:pPr>
            <w:r>
              <w:rPr>
                <w:rFonts w:ascii="宋体" w:eastAsia="宋体" w:hAnsi="宋体" w:cs="Times New Roman" w:hint="eastAsia"/>
                <w:color w:val="000000"/>
                <w:sz w:val="18"/>
                <w:szCs w:val="18"/>
              </w:rPr>
              <w:t>2</w:t>
            </w:r>
          </w:p>
        </w:tc>
        <w:tc>
          <w:tcPr>
            <w:tcW w:w="1836" w:type="dxa"/>
            <w:shd w:val="clear" w:color="auto" w:fill="auto"/>
            <w:vAlign w:val="center"/>
          </w:tcPr>
          <w:p w:rsidR="00721A26" w:rsidRDefault="00721A26" w:rsidP="00D90670">
            <w:pPr>
              <w:spacing w:line="288" w:lineRule="auto"/>
              <w:jc w:val="center"/>
              <w:rPr>
                <w:rFonts w:ascii="宋体" w:eastAsia="宋体" w:hAnsi="宋体" w:cs="Times New Roman"/>
                <w:color w:val="000000"/>
                <w:sz w:val="18"/>
                <w:szCs w:val="18"/>
              </w:rPr>
            </w:pPr>
            <w:r>
              <w:rPr>
                <w:rFonts w:ascii="宋体" w:eastAsia="宋体" w:hAnsi="宋体" w:cs="Times New Roman" w:hint="eastAsia"/>
                <w:color w:val="000000"/>
                <w:sz w:val="18"/>
                <w:szCs w:val="18"/>
              </w:rPr>
              <w:t>文学与新闻传播学院</w:t>
            </w:r>
          </w:p>
        </w:tc>
        <w:tc>
          <w:tcPr>
            <w:tcW w:w="578" w:type="dxa"/>
            <w:tcBorders>
              <w:top w:val="single" w:sz="4" w:space="0" w:color="auto"/>
              <w:left w:val="nil"/>
              <w:bottom w:val="single" w:sz="4" w:space="0" w:color="auto"/>
              <w:right w:val="single" w:sz="4" w:space="0" w:color="auto"/>
            </w:tcBorders>
            <w:shd w:val="clear" w:color="000000" w:fill="FFFFFF"/>
          </w:tcPr>
          <w:p w:rsidR="00721A26" w:rsidRDefault="00721A26" w:rsidP="00D90670">
            <w:pPr>
              <w:spacing w:line="288" w:lineRule="auto"/>
              <w:jc w:val="center"/>
              <w:rPr>
                <w:rFonts w:ascii="宋体" w:eastAsia="宋体" w:hAnsi="宋体" w:cs="Times New Roman"/>
                <w:color w:val="000000"/>
                <w:sz w:val="18"/>
                <w:szCs w:val="18"/>
              </w:rPr>
            </w:pPr>
            <w:r>
              <w:rPr>
                <w:rFonts w:ascii="宋体" w:eastAsia="宋体" w:hAnsi="宋体" w:cs="Times New Roman"/>
                <w:color w:val="000000"/>
                <w:sz w:val="18"/>
                <w:szCs w:val="18"/>
              </w:rPr>
              <w:t>287</w:t>
            </w:r>
          </w:p>
        </w:tc>
        <w:tc>
          <w:tcPr>
            <w:tcW w:w="578" w:type="dxa"/>
            <w:tcBorders>
              <w:top w:val="single" w:sz="4" w:space="0" w:color="auto"/>
              <w:left w:val="single" w:sz="4" w:space="0" w:color="auto"/>
              <w:bottom w:val="single" w:sz="4" w:space="0" w:color="auto"/>
              <w:right w:val="single" w:sz="4" w:space="0" w:color="auto"/>
            </w:tcBorders>
            <w:shd w:val="clear" w:color="000000" w:fill="FFFFFF"/>
          </w:tcPr>
          <w:p w:rsidR="00721A26" w:rsidRDefault="00721A26" w:rsidP="00D90670">
            <w:pPr>
              <w:spacing w:line="288" w:lineRule="auto"/>
              <w:jc w:val="center"/>
              <w:rPr>
                <w:rFonts w:ascii="宋体" w:eastAsia="宋体" w:hAnsi="宋体" w:cs="Times New Roman"/>
                <w:color w:val="000000"/>
                <w:sz w:val="18"/>
                <w:szCs w:val="18"/>
              </w:rPr>
            </w:pPr>
            <w:r>
              <w:rPr>
                <w:rFonts w:ascii="宋体" w:eastAsia="宋体" w:hAnsi="宋体" w:cs="Times New Roman"/>
                <w:color w:val="000000"/>
                <w:sz w:val="18"/>
                <w:szCs w:val="18"/>
              </w:rPr>
              <w:t>1837</w:t>
            </w:r>
          </w:p>
        </w:tc>
        <w:tc>
          <w:tcPr>
            <w:tcW w:w="578" w:type="dxa"/>
            <w:tcBorders>
              <w:top w:val="single" w:sz="4" w:space="0" w:color="auto"/>
              <w:left w:val="single" w:sz="4" w:space="0" w:color="auto"/>
              <w:bottom w:val="single" w:sz="4" w:space="0" w:color="auto"/>
              <w:right w:val="single" w:sz="4" w:space="0" w:color="auto"/>
            </w:tcBorders>
            <w:shd w:val="clear" w:color="000000" w:fill="FFFFFF"/>
          </w:tcPr>
          <w:p w:rsidR="00721A26" w:rsidRDefault="00721A26" w:rsidP="00D90670">
            <w:pPr>
              <w:spacing w:line="288" w:lineRule="auto"/>
              <w:jc w:val="center"/>
              <w:rPr>
                <w:rFonts w:ascii="宋体" w:eastAsia="宋体" w:hAnsi="宋体" w:cs="Times New Roman"/>
                <w:color w:val="000000"/>
                <w:sz w:val="18"/>
                <w:szCs w:val="18"/>
              </w:rPr>
            </w:pPr>
            <w:r>
              <w:rPr>
                <w:rFonts w:ascii="宋体" w:eastAsia="宋体" w:hAnsi="宋体" w:cs="Times New Roman" w:hint="eastAsia"/>
                <w:color w:val="000000"/>
                <w:sz w:val="18"/>
                <w:szCs w:val="18"/>
              </w:rPr>
              <w:t>C</w:t>
            </w:r>
          </w:p>
        </w:tc>
        <w:tc>
          <w:tcPr>
            <w:tcW w:w="578" w:type="dxa"/>
            <w:tcBorders>
              <w:top w:val="single" w:sz="4" w:space="0" w:color="auto"/>
              <w:left w:val="single" w:sz="4" w:space="0" w:color="auto"/>
              <w:bottom w:val="single" w:sz="4" w:space="0" w:color="auto"/>
              <w:right w:val="single" w:sz="4" w:space="0" w:color="auto"/>
            </w:tcBorders>
            <w:shd w:val="clear" w:color="000000" w:fill="FFFFFF"/>
            <w:vAlign w:val="center"/>
          </w:tcPr>
          <w:p w:rsidR="00721A26" w:rsidRDefault="00721A26" w:rsidP="00D90670">
            <w:pPr>
              <w:spacing w:line="288" w:lineRule="auto"/>
              <w:jc w:val="center"/>
              <w:rPr>
                <w:rFonts w:ascii="宋体" w:eastAsia="宋体" w:hAnsi="宋体" w:cs="Times New Roman"/>
                <w:color w:val="000000"/>
                <w:sz w:val="18"/>
                <w:szCs w:val="18"/>
              </w:rPr>
            </w:pPr>
            <w:r>
              <w:rPr>
                <w:rFonts w:ascii="宋体" w:eastAsia="宋体" w:hAnsi="宋体" w:cs="Times New Roman" w:hint="eastAsia"/>
                <w:color w:val="000000"/>
                <w:sz w:val="18"/>
                <w:szCs w:val="18"/>
              </w:rPr>
              <w:t>12</w:t>
            </w:r>
          </w:p>
        </w:tc>
        <w:tc>
          <w:tcPr>
            <w:tcW w:w="1836" w:type="dxa"/>
            <w:tcBorders>
              <w:top w:val="single" w:sz="4" w:space="0" w:color="auto"/>
              <w:left w:val="single" w:sz="4" w:space="0" w:color="auto"/>
              <w:bottom w:val="single" w:sz="4" w:space="0" w:color="auto"/>
              <w:right w:val="single" w:sz="4" w:space="0" w:color="auto"/>
            </w:tcBorders>
            <w:shd w:val="clear" w:color="000000" w:fill="FFFFFF"/>
            <w:vAlign w:val="center"/>
          </w:tcPr>
          <w:p w:rsidR="00721A26" w:rsidRDefault="00721A26" w:rsidP="00D90670">
            <w:pPr>
              <w:spacing w:line="288" w:lineRule="auto"/>
              <w:jc w:val="center"/>
              <w:rPr>
                <w:rFonts w:ascii="宋体" w:eastAsia="宋体" w:hAnsi="宋体" w:cs="Times New Roman"/>
                <w:color w:val="000000"/>
                <w:sz w:val="18"/>
                <w:szCs w:val="18"/>
              </w:rPr>
            </w:pPr>
            <w:r>
              <w:rPr>
                <w:rFonts w:ascii="宋体" w:eastAsia="宋体" w:hAnsi="宋体" w:cs="Times New Roman" w:hint="eastAsia"/>
                <w:color w:val="000000"/>
                <w:sz w:val="18"/>
                <w:szCs w:val="18"/>
              </w:rPr>
              <w:t>数学与统计学学院</w:t>
            </w:r>
          </w:p>
        </w:tc>
        <w:tc>
          <w:tcPr>
            <w:tcW w:w="578" w:type="dxa"/>
            <w:tcBorders>
              <w:top w:val="single" w:sz="4" w:space="0" w:color="auto"/>
              <w:left w:val="single" w:sz="4" w:space="0" w:color="auto"/>
              <w:bottom w:val="single" w:sz="4" w:space="0" w:color="auto"/>
              <w:right w:val="single" w:sz="4" w:space="0" w:color="auto"/>
            </w:tcBorders>
            <w:shd w:val="clear" w:color="000000" w:fill="FFFFFF"/>
          </w:tcPr>
          <w:p w:rsidR="00721A26" w:rsidRDefault="00721A26" w:rsidP="00D90670">
            <w:pPr>
              <w:spacing w:line="288" w:lineRule="auto"/>
              <w:jc w:val="center"/>
              <w:rPr>
                <w:rFonts w:ascii="宋体" w:eastAsia="宋体" w:hAnsi="宋体" w:cs="Times New Roman"/>
                <w:color w:val="000000"/>
                <w:sz w:val="18"/>
                <w:szCs w:val="18"/>
              </w:rPr>
            </w:pPr>
            <w:r>
              <w:rPr>
                <w:rFonts w:ascii="宋体" w:eastAsia="宋体" w:hAnsi="宋体" w:cs="Times New Roman"/>
                <w:color w:val="000000"/>
                <w:sz w:val="18"/>
                <w:szCs w:val="18"/>
              </w:rPr>
              <w:t>664</w:t>
            </w:r>
          </w:p>
        </w:tc>
        <w:tc>
          <w:tcPr>
            <w:tcW w:w="578" w:type="dxa"/>
            <w:tcBorders>
              <w:top w:val="single" w:sz="4" w:space="0" w:color="auto"/>
              <w:left w:val="single" w:sz="4" w:space="0" w:color="auto"/>
              <w:bottom w:val="single" w:sz="4" w:space="0" w:color="auto"/>
              <w:right w:val="single" w:sz="4" w:space="0" w:color="auto"/>
            </w:tcBorders>
            <w:shd w:val="clear" w:color="000000" w:fill="FFFFFF"/>
          </w:tcPr>
          <w:p w:rsidR="00721A26" w:rsidRDefault="00721A26" w:rsidP="00D90670">
            <w:pPr>
              <w:spacing w:line="288" w:lineRule="auto"/>
              <w:jc w:val="center"/>
              <w:rPr>
                <w:rFonts w:ascii="宋体" w:eastAsia="宋体" w:hAnsi="宋体" w:cs="Times New Roman"/>
                <w:color w:val="000000"/>
                <w:sz w:val="18"/>
                <w:szCs w:val="18"/>
              </w:rPr>
            </w:pPr>
            <w:r>
              <w:rPr>
                <w:rFonts w:ascii="宋体" w:eastAsia="宋体" w:hAnsi="宋体" w:cs="Times New Roman"/>
                <w:color w:val="000000"/>
                <w:sz w:val="18"/>
                <w:szCs w:val="18"/>
              </w:rPr>
              <w:t>1049</w:t>
            </w:r>
          </w:p>
        </w:tc>
        <w:tc>
          <w:tcPr>
            <w:tcW w:w="578" w:type="dxa"/>
            <w:tcBorders>
              <w:top w:val="single" w:sz="4" w:space="0" w:color="auto"/>
              <w:left w:val="single" w:sz="4" w:space="0" w:color="auto"/>
              <w:bottom w:val="single" w:sz="4" w:space="0" w:color="auto"/>
              <w:right w:val="single" w:sz="4" w:space="0" w:color="auto"/>
            </w:tcBorders>
            <w:shd w:val="clear" w:color="000000" w:fill="FFFFFF"/>
          </w:tcPr>
          <w:p w:rsidR="00721A26" w:rsidRDefault="00721A26" w:rsidP="00D90670">
            <w:pPr>
              <w:spacing w:line="288" w:lineRule="auto"/>
              <w:jc w:val="center"/>
              <w:rPr>
                <w:rFonts w:ascii="宋体" w:eastAsia="宋体" w:hAnsi="宋体" w:cs="Times New Roman"/>
                <w:color w:val="000000"/>
                <w:sz w:val="18"/>
                <w:szCs w:val="18"/>
              </w:rPr>
            </w:pPr>
            <w:r>
              <w:rPr>
                <w:rFonts w:ascii="宋体" w:eastAsia="宋体" w:hAnsi="宋体" w:cs="Times New Roman" w:hint="eastAsia"/>
                <w:color w:val="000000"/>
                <w:sz w:val="18"/>
                <w:szCs w:val="18"/>
              </w:rPr>
              <w:t>F</w:t>
            </w:r>
          </w:p>
        </w:tc>
      </w:tr>
      <w:tr w:rsidR="00721A26" w:rsidTr="00D90670">
        <w:trPr>
          <w:trHeight w:val="270"/>
          <w:jc w:val="center"/>
        </w:trPr>
        <w:tc>
          <w:tcPr>
            <w:tcW w:w="578" w:type="dxa"/>
            <w:shd w:val="clear" w:color="auto" w:fill="auto"/>
            <w:vAlign w:val="center"/>
          </w:tcPr>
          <w:p w:rsidR="00721A26" w:rsidRDefault="00721A26" w:rsidP="00D90670">
            <w:pPr>
              <w:spacing w:line="288" w:lineRule="auto"/>
              <w:jc w:val="center"/>
              <w:rPr>
                <w:rFonts w:ascii="宋体" w:eastAsia="宋体" w:hAnsi="宋体" w:cs="Times New Roman"/>
                <w:color w:val="000000"/>
                <w:sz w:val="18"/>
                <w:szCs w:val="18"/>
              </w:rPr>
            </w:pPr>
            <w:r>
              <w:rPr>
                <w:rFonts w:ascii="宋体" w:eastAsia="宋体" w:hAnsi="宋体" w:cs="Times New Roman" w:hint="eastAsia"/>
                <w:color w:val="000000"/>
                <w:sz w:val="18"/>
                <w:szCs w:val="18"/>
              </w:rPr>
              <w:t>3</w:t>
            </w:r>
          </w:p>
        </w:tc>
        <w:tc>
          <w:tcPr>
            <w:tcW w:w="1836" w:type="dxa"/>
            <w:shd w:val="clear" w:color="auto" w:fill="auto"/>
            <w:vAlign w:val="center"/>
          </w:tcPr>
          <w:p w:rsidR="00721A26" w:rsidRDefault="00721A26" w:rsidP="00D90670">
            <w:pPr>
              <w:spacing w:line="288" w:lineRule="auto"/>
              <w:jc w:val="center"/>
              <w:rPr>
                <w:rFonts w:ascii="宋体" w:eastAsia="宋体" w:hAnsi="宋体" w:cs="Times New Roman"/>
                <w:color w:val="000000"/>
                <w:sz w:val="18"/>
                <w:szCs w:val="18"/>
              </w:rPr>
            </w:pPr>
            <w:r>
              <w:rPr>
                <w:rFonts w:ascii="宋体" w:eastAsia="宋体" w:hAnsi="宋体" w:cs="Times New Roman" w:hint="eastAsia"/>
                <w:color w:val="000000"/>
                <w:sz w:val="18"/>
                <w:szCs w:val="18"/>
              </w:rPr>
              <w:t>美术学院</w:t>
            </w:r>
          </w:p>
        </w:tc>
        <w:tc>
          <w:tcPr>
            <w:tcW w:w="578" w:type="dxa"/>
            <w:tcBorders>
              <w:top w:val="single" w:sz="4" w:space="0" w:color="auto"/>
              <w:left w:val="nil"/>
              <w:bottom w:val="single" w:sz="4" w:space="0" w:color="auto"/>
              <w:right w:val="single" w:sz="4" w:space="0" w:color="auto"/>
            </w:tcBorders>
            <w:shd w:val="clear" w:color="000000" w:fill="FFFFFF"/>
          </w:tcPr>
          <w:p w:rsidR="00721A26" w:rsidRDefault="00721A26" w:rsidP="00D90670">
            <w:pPr>
              <w:spacing w:line="288" w:lineRule="auto"/>
              <w:jc w:val="center"/>
              <w:rPr>
                <w:rFonts w:ascii="宋体" w:eastAsia="宋体" w:hAnsi="宋体" w:cs="Times New Roman"/>
                <w:color w:val="000000"/>
                <w:sz w:val="18"/>
                <w:szCs w:val="18"/>
              </w:rPr>
            </w:pPr>
            <w:r>
              <w:rPr>
                <w:rFonts w:ascii="宋体" w:eastAsia="宋体" w:hAnsi="宋体" w:cs="Times New Roman"/>
                <w:color w:val="000000"/>
                <w:sz w:val="18"/>
                <w:szCs w:val="18"/>
              </w:rPr>
              <w:t>251</w:t>
            </w:r>
          </w:p>
        </w:tc>
        <w:tc>
          <w:tcPr>
            <w:tcW w:w="578" w:type="dxa"/>
            <w:tcBorders>
              <w:top w:val="single" w:sz="4" w:space="0" w:color="auto"/>
              <w:left w:val="single" w:sz="4" w:space="0" w:color="auto"/>
              <w:bottom w:val="single" w:sz="4" w:space="0" w:color="auto"/>
              <w:right w:val="single" w:sz="4" w:space="0" w:color="auto"/>
            </w:tcBorders>
            <w:shd w:val="clear" w:color="000000" w:fill="FFFFFF"/>
          </w:tcPr>
          <w:p w:rsidR="00721A26" w:rsidRDefault="00721A26" w:rsidP="00D90670">
            <w:pPr>
              <w:spacing w:line="288" w:lineRule="auto"/>
              <w:jc w:val="center"/>
              <w:rPr>
                <w:rFonts w:ascii="宋体" w:eastAsia="宋体" w:hAnsi="宋体" w:cs="Times New Roman"/>
                <w:color w:val="000000"/>
                <w:sz w:val="18"/>
                <w:szCs w:val="18"/>
              </w:rPr>
            </w:pPr>
            <w:r>
              <w:rPr>
                <w:rFonts w:ascii="宋体" w:eastAsia="宋体" w:hAnsi="宋体" w:cs="Times New Roman"/>
                <w:color w:val="000000"/>
                <w:sz w:val="18"/>
                <w:szCs w:val="18"/>
              </w:rPr>
              <w:t>1033</w:t>
            </w:r>
          </w:p>
        </w:tc>
        <w:tc>
          <w:tcPr>
            <w:tcW w:w="578" w:type="dxa"/>
            <w:tcBorders>
              <w:top w:val="single" w:sz="4" w:space="0" w:color="auto"/>
              <w:left w:val="single" w:sz="4" w:space="0" w:color="auto"/>
              <w:bottom w:val="single" w:sz="4" w:space="0" w:color="auto"/>
              <w:right w:val="single" w:sz="4" w:space="0" w:color="auto"/>
            </w:tcBorders>
            <w:shd w:val="clear" w:color="000000" w:fill="FFFFFF"/>
          </w:tcPr>
          <w:p w:rsidR="00721A26" w:rsidRDefault="00721A26" w:rsidP="00D90670">
            <w:pPr>
              <w:spacing w:line="288" w:lineRule="auto"/>
              <w:jc w:val="center"/>
              <w:rPr>
                <w:rFonts w:ascii="宋体" w:eastAsia="宋体" w:hAnsi="宋体" w:cs="Times New Roman"/>
                <w:color w:val="000000"/>
                <w:sz w:val="18"/>
                <w:szCs w:val="18"/>
              </w:rPr>
            </w:pPr>
            <w:r>
              <w:rPr>
                <w:rFonts w:ascii="宋体" w:eastAsia="宋体" w:hAnsi="宋体" w:cs="Times New Roman" w:hint="eastAsia"/>
                <w:color w:val="000000"/>
                <w:sz w:val="18"/>
                <w:szCs w:val="18"/>
              </w:rPr>
              <w:t>D</w:t>
            </w:r>
          </w:p>
        </w:tc>
        <w:tc>
          <w:tcPr>
            <w:tcW w:w="578" w:type="dxa"/>
            <w:tcBorders>
              <w:top w:val="single" w:sz="4" w:space="0" w:color="auto"/>
              <w:left w:val="single" w:sz="4" w:space="0" w:color="auto"/>
              <w:bottom w:val="single" w:sz="4" w:space="0" w:color="auto"/>
              <w:right w:val="single" w:sz="4" w:space="0" w:color="auto"/>
            </w:tcBorders>
            <w:shd w:val="clear" w:color="000000" w:fill="FFFFFF"/>
            <w:vAlign w:val="center"/>
          </w:tcPr>
          <w:p w:rsidR="00721A26" w:rsidRDefault="00721A26" w:rsidP="00D90670">
            <w:pPr>
              <w:spacing w:line="288" w:lineRule="auto"/>
              <w:jc w:val="center"/>
              <w:rPr>
                <w:rFonts w:ascii="宋体" w:eastAsia="宋体" w:hAnsi="宋体" w:cs="Times New Roman"/>
                <w:color w:val="000000"/>
                <w:sz w:val="18"/>
                <w:szCs w:val="18"/>
              </w:rPr>
            </w:pPr>
            <w:r>
              <w:rPr>
                <w:rFonts w:ascii="宋体" w:eastAsia="宋体" w:hAnsi="宋体" w:cs="Times New Roman" w:hint="eastAsia"/>
                <w:color w:val="000000"/>
                <w:sz w:val="18"/>
                <w:szCs w:val="18"/>
              </w:rPr>
              <w:t>13</w:t>
            </w:r>
          </w:p>
        </w:tc>
        <w:tc>
          <w:tcPr>
            <w:tcW w:w="1836" w:type="dxa"/>
            <w:tcBorders>
              <w:top w:val="single" w:sz="4" w:space="0" w:color="auto"/>
              <w:left w:val="single" w:sz="4" w:space="0" w:color="auto"/>
              <w:bottom w:val="single" w:sz="4" w:space="0" w:color="auto"/>
              <w:right w:val="single" w:sz="4" w:space="0" w:color="auto"/>
            </w:tcBorders>
            <w:shd w:val="clear" w:color="000000" w:fill="FFFFFF"/>
            <w:vAlign w:val="center"/>
          </w:tcPr>
          <w:p w:rsidR="00721A26" w:rsidRDefault="00721A26" w:rsidP="00D90670">
            <w:pPr>
              <w:spacing w:line="288" w:lineRule="auto"/>
              <w:jc w:val="center"/>
              <w:rPr>
                <w:rFonts w:ascii="宋体" w:eastAsia="宋体" w:hAnsi="宋体" w:cs="Times New Roman"/>
                <w:color w:val="000000"/>
                <w:sz w:val="18"/>
                <w:szCs w:val="18"/>
              </w:rPr>
            </w:pPr>
            <w:r>
              <w:rPr>
                <w:rFonts w:ascii="宋体" w:eastAsia="宋体" w:hAnsi="宋体" w:cs="Times New Roman" w:hint="eastAsia"/>
                <w:color w:val="000000"/>
                <w:sz w:val="18"/>
                <w:szCs w:val="18"/>
              </w:rPr>
              <w:t>电子信息工程学院</w:t>
            </w:r>
          </w:p>
        </w:tc>
        <w:tc>
          <w:tcPr>
            <w:tcW w:w="578" w:type="dxa"/>
            <w:tcBorders>
              <w:top w:val="single" w:sz="4" w:space="0" w:color="auto"/>
              <w:left w:val="single" w:sz="4" w:space="0" w:color="auto"/>
              <w:bottom w:val="single" w:sz="4" w:space="0" w:color="auto"/>
              <w:right w:val="single" w:sz="4" w:space="0" w:color="auto"/>
            </w:tcBorders>
            <w:shd w:val="clear" w:color="000000" w:fill="FFFFFF"/>
          </w:tcPr>
          <w:p w:rsidR="00721A26" w:rsidRDefault="00721A26" w:rsidP="00D90670">
            <w:pPr>
              <w:spacing w:line="288" w:lineRule="auto"/>
              <w:jc w:val="center"/>
              <w:rPr>
                <w:rFonts w:ascii="宋体" w:eastAsia="宋体" w:hAnsi="宋体" w:cs="Times New Roman"/>
                <w:color w:val="000000"/>
                <w:sz w:val="18"/>
                <w:szCs w:val="18"/>
              </w:rPr>
            </w:pPr>
            <w:r>
              <w:rPr>
                <w:rFonts w:ascii="宋体" w:eastAsia="宋体" w:hAnsi="宋体" w:cs="Times New Roman"/>
                <w:color w:val="000000"/>
                <w:sz w:val="18"/>
                <w:szCs w:val="18"/>
              </w:rPr>
              <w:t>2076</w:t>
            </w:r>
          </w:p>
        </w:tc>
        <w:tc>
          <w:tcPr>
            <w:tcW w:w="578" w:type="dxa"/>
            <w:tcBorders>
              <w:top w:val="single" w:sz="4" w:space="0" w:color="auto"/>
              <w:left w:val="single" w:sz="4" w:space="0" w:color="auto"/>
              <w:bottom w:val="single" w:sz="4" w:space="0" w:color="auto"/>
              <w:right w:val="single" w:sz="4" w:space="0" w:color="auto"/>
            </w:tcBorders>
            <w:shd w:val="clear" w:color="000000" w:fill="FFFFFF"/>
          </w:tcPr>
          <w:p w:rsidR="00721A26" w:rsidRDefault="00721A26" w:rsidP="00D90670">
            <w:pPr>
              <w:spacing w:line="288" w:lineRule="auto"/>
              <w:jc w:val="center"/>
              <w:rPr>
                <w:rFonts w:ascii="宋体" w:eastAsia="宋体" w:hAnsi="宋体" w:cs="Times New Roman"/>
                <w:color w:val="000000"/>
                <w:sz w:val="18"/>
                <w:szCs w:val="18"/>
              </w:rPr>
            </w:pPr>
            <w:r>
              <w:rPr>
                <w:rFonts w:ascii="宋体" w:eastAsia="宋体" w:hAnsi="宋体" w:cs="Times New Roman"/>
                <w:color w:val="000000"/>
                <w:sz w:val="18"/>
                <w:szCs w:val="18"/>
              </w:rPr>
              <w:t>3162</w:t>
            </w:r>
          </w:p>
        </w:tc>
        <w:tc>
          <w:tcPr>
            <w:tcW w:w="578" w:type="dxa"/>
            <w:tcBorders>
              <w:top w:val="single" w:sz="4" w:space="0" w:color="auto"/>
              <w:left w:val="single" w:sz="4" w:space="0" w:color="auto"/>
              <w:bottom w:val="single" w:sz="4" w:space="0" w:color="auto"/>
              <w:right w:val="single" w:sz="4" w:space="0" w:color="auto"/>
            </w:tcBorders>
            <w:shd w:val="clear" w:color="000000" w:fill="FFFFFF"/>
          </w:tcPr>
          <w:p w:rsidR="00721A26" w:rsidRDefault="00721A26" w:rsidP="00D90670">
            <w:pPr>
              <w:spacing w:line="288" w:lineRule="auto"/>
              <w:jc w:val="center"/>
              <w:rPr>
                <w:rFonts w:ascii="宋体" w:eastAsia="宋体" w:hAnsi="宋体" w:cs="Times New Roman"/>
                <w:color w:val="000000"/>
                <w:sz w:val="18"/>
                <w:szCs w:val="18"/>
              </w:rPr>
            </w:pPr>
            <w:r>
              <w:rPr>
                <w:rFonts w:ascii="宋体" w:eastAsia="宋体" w:hAnsi="宋体" w:cs="Times New Roman" w:hint="eastAsia"/>
                <w:color w:val="000000"/>
                <w:sz w:val="18"/>
                <w:szCs w:val="18"/>
              </w:rPr>
              <w:t>F</w:t>
            </w:r>
          </w:p>
        </w:tc>
      </w:tr>
      <w:tr w:rsidR="00721A26" w:rsidTr="00D90670">
        <w:trPr>
          <w:trHeight w:val="270"/>
          <w:jc w:val="center"/>
        </w:trPr>
        <w:tc>
          <w:tcPr>
            <w:tcW w:w="578" w:type="dxa"/>
            <w:shd w:val="clear" w:color="auto" w:fill="auto"/>
            <w:vAlign w:val="center"/>
          </w:tcPr>
          <w:p w:rsidR="00721A26" w:rsidRDefault="00721A26" w:rsidP="00D90670">
            <w:pPr>
              <w:spacing w:line="288" w:lineRule="auto"/>
              <w:jc w:val="center"/>
              <w:rPr>
                <w:rFonts w:ascii="宋体" w:eastAsia="宋体" w:hAnsi="宋体" w:cs="Times New Roman"/>
                <w:color w:val="000000"/>
                <w:sz w:val="18"/>
                <w:szCs w:val="18"/>
              </w:rPr>
            </w:pPr>
            <w:r>
              <w:rPr>
                <w:rFonts w:ascii="宋体" w:eastAsia="宋体" w:hAnsi="宋体" w:cs="Times New Roman" w:hint="eastAsia"/>
                <w:color w:val="000000"/>
                <w:sz w:val="18"/>
                <w:szCs w:val="18"/>
              </w:rPr>
              <w:t>4</w:t>
            </w:r>
          </w:p>
        </w:tc>
        <w:tc>
          <w:tcPr>
            <w:tcW w:w="1836" w:type="dxa"/>
            <w:shd w:val="clear" w:color="auto" w:fill="auto"/>
            <w:vAlign w:val="center"/>
          </w:tcPr>
          <w:p w:rsidR="00721A26" w:rsidRDefault="00721A26" w:rsidP="00D90670">
            <w:pPr>
              <w:spacing w:line="288" w:lineRule="auto"/>
              <w:jc w:val="center"/>
              <w:rPr>
                <w:rFonts w:ascii="宋体" w:eastAsia="宋体" w:hAnsi="宋体" w:cs="Times New Roman"/>
                <w:color w:val="000000"/>
                <w:sz w:val="18"/>
                <w:szCs w:val="18"/>
              </w:rPr>
            </w:pPr>
            <w:r>
              <w:rPr>
                <w:rFonts w:ascii="宋体" w:eastAsia="宋体" w:hAnsi="宋体" w:cs="Times New Roman" w:hint="eastAsia"/>
                <w:color w:val="000000"/>
                <w:sz w:val="18"/>
                <w:szCs w:val="18"/>
              </w:rPr>
              <w:t>民族学与社会学学院</w:t>
            </w:r>
          </w:p>
        </w:tc>
        <w:tc>
          <w:tcPr>
            <w:tcW w:w="578" w:type="dxa"/>
            <w:tcBorders>
              <w:top w:val="single" w:sz="4" w:space="0" w:color="auto"/>
              <w:left w:val="nil"/>
              <w:bottom w:val="single" w:sz="4" w:space="0" w:color="auto"/>
              <w:right w:val="single" w:sz="4" w:space="0" w:color="auto"/>
            </w:tcBorders>
            <w:shd w:val="clear" w:color="000000" w:fill="FFFFFF"/>
          </w:tcPr>
          <w:p w:rsidR="00721A26" w:rsidRDefault="00721A26" w:rsidP="00D90670">
            <w:pPr>
              <w:spacing w:line="288" w:lineRule="auto"/>
              <w:jc w:val="center"/>
              <w:rPr>
                <w:rFonts w:ascii="宋体" w:eastAsia="宋体" w:hAnsi="宋体" w:cs="Times New Roman"/>
                <w:color w:val="000000"/>
                <w:sz w:val="18"/>
                <w:szCs w:val="18"/>
              </w:rPr>
            </w:pPr>
            <w:r>
              <w:rPr>
                <w:rFonts w:ascii="宋体" w:eastAsia="宋体" w:hAnsi="宋体" w:cs="Times New Roman"/>
                <w:color w:val="000000"/>
                <w:sz w:val="18"/>
                <w:szCs w:val="18"/>
              </w:rPr>
              <w:t>185</w:t>
            </w:r>
          </w:p>
        </w:tc>
        <w:tc>
          <w:tcPr>
            <w:tcW w:w="578" w:type="dxa"/>
            <w:tcBorders>
              <w:top w:val="single" w:sz="4" w:space="0" w:color="auto"/>
              <w:left w:val="single" w:sz="4" w:space="0" w:color="auto"/>
              <w:bottom w:val="single" w:sz="4" w:space="0" w:color="auto"/>
              <w:right w:val="single" w:sz="4" w:space="0" w:color="auto"/>
            </w:tcBorders>
            <w:shd w:val="clear" w:color="000000" w:fill="FFFFFF"/>
          </w:tcPr>
          <w:p w:rsidR="00721A26" w:rsidRDefault="00721A26" w:rsidP="00D90670">
            <w:pPr>
              <w:spacing w:line="288" w:lineRule="auto"/>
              <w:jc w:val="center"/>
              <w:rPr>
                <w:rFonts w:ascii="宋体" w:eastAsia="宋体" w:hAnsi="宋体" w:cs="Times New Roman"/>
                <w:color w:val="000000"/>
                <w:sz w:val="18"/>
                <w:szCs w:val="18"/>
              </w:rPr>
            </w:pPr>
            <w:r>
              <w:rPr>
                <w:rFonts w:ascii="宋体" w:eastAsia="宋体" w:hAnsi="宋体" w:cs="Times New Roman"/>
                <w:color w:val="000000"/>
                <w:sz w:val="18"/>
                <w:szCs w:val="18"/>
              </w:rPr>
              <w:t>640</w:t>
            </w:r>
          </w:p>
        </w:tc>
        <w:tc>
          <w:tcPr>
            <w:tcW w:w="578" w:type="dxa"/>
            <w:tcBorders>
              <w:top w:val="single" w:sz="4" w:space="0" w:color="auto"/>
              <w:left w:val="single" w:sz="4" w:space="0" w:color="auto"/>
              <w:bottom w:val="single" w:sz="4" w:space="0" w:color="auto"/>
              <w:right w:val="single" w:sz="4" w:space="0" w:color="auto"/>
            </w:tcBorders>
            <w:shd w:val="clear" w:color="000000" w:fill="FFFFFF"/>
          </w:tcPr>
          <w:p w:rsidR="00721A26" w:rsidRDefault="00721A26" w:rsidP="00D90670">
            <w:pPr>
              <w:spacing w:line="288" w:lineRule="auto"/>
              <w:jc w:val="center"/>
              <w:rPr>
                <w:rFonts w:ascii="宋体" w:eastAsia="宋体" w:hAnsi="宋体" w:cs="Times New Roman"/>
                <w:color w:val="000000"/>
                <w:sz w:val="18"/>
                <w:szCs w:val="18"/>
              </w:rPr>
            </w:pPr>
            <w:r>
              <w:rPr>
                <w:rFonts w:ascii="宋体" w:eastAsia="宋体" w:hAnsi="宋体" w:cs="Times New Roman" w:hint="eastAsia"/>
                <w:color w:val="000000"/>
                <w:sz w:val="18"/>
                <w:szCs w:val="18"/>
              </w:rPr>
              <w:t>C</w:t>
            </w:r>
          </w:p>
        </w:tc>
        <w:tc>
          <w:tcPr>
            <w:tcW w:w="578" w:type="dxa"/>
            <w:tcBorders>
              <w:top w:val="single" w:sz="4" w:space="0" w:color="auto"/>
              <w:left w:val="single" w:sz="4" w:space="0" w:color="auto"/>
              <w:bottom w:val="single" w:sz="4" w:space="0" w:color="auto"/>
              <w:right w:val="single" w:sz="4" w:space="0" w:color="auto"/>
            </w:tcBorders>
            <w:shd w:val="clear" w:color="000000" w:fill="FFFFFF"/>
            <w:vAlign w:val="center"/>
          </w:tcPr>
          <w:p w:rsidR="00721A26" w:rsidRDefault="00721A26" w:rsidP="00D90670">
            <w:pPr>
              <w:spacing w:line="288" w:lineRule="auto"/>
              <w:jc w:val="center"/>
              <w:rPr>
                <w:rFonts w:ascii="宋体" w:eastAsia="宋体" w:hAnsi="宋体" w:cs="Times New Roman"/>
                <w:color w:val="000000"/>
                <w:sz w:val="18"/>
                <w:szCs w:val="18"/>
              </w:rPr>
            </w:pPr>
            <w:r>
              <w:rPr>
                <w:rFonts w:ascii="宋体" w:eastAsia="宋体" w:hAnsi="宋体" w:cs="Times New Roman" w:hint="eastAsia"/>
                <w:color w:val="000000"/>
                <w:sz w:val="18"/>
                <w:szCs w:val="18"/>
              </w:rPr>
              <w:t>14</w:t>
            </w:r>
          </w:p>
        </w:tc>
        <w:tc>
          <w:tcPr>
            <w:tcW w:w="1836" w:type="dxa"/>
            <w:tcBorders>
              <w:top w:val="single" w:sz="4" w:space="0" w:color="auto"/>
              <w:left w:val="single" w:sz="4" w:space="0" w:color="auto"/>
              <w:bottom w:val="single" w:sz="4" w:space="0" w:color="auto"/>
              <w:right w:val="single" w:sz="4" w:space="0" w:color="auto"/>
            </w:tcBorders>
            <w:shd w:val="clear" w:color="000000" w:fill="FFFFFF"/>
            <w:vAlign w:val="center"/>
          </w:tcPr>
          <w:p w:rsidR="00721A26" w:rsidRDefault="00721A26" w:rsidP="00D90670">
            <w:pPr>
              <w:spacing w:line="288" w:lineRule="auto"/>
              <w:jc w:val="center"/>
              <w:rPr>
                <w:rFonts w:ascii="宋体" w:eastAsia="宋体" w:hAnsi="宋体" w:cs="Times New Roman"/>
                <w:color w:val="000000"/>
                <w:sz w:val="18"/>
                <w:szCs w:val="18"/>
              </w:rPr>
            </w:pPr>
            <w:r>
              <w:rPr>
                <w:rFonts w:ascii="宋体" w:eastAsia="宋体" w:hAnsi="宋体" w:cs="Times New Roman" w:hint="eastAsia"/>
                <w:color w:val="000000"/>
                <w:sz w:val="18"/>
                <w:szCs w:val="18"/>
              </w:rPr>
              <w:t>生物医学工程学院</w:t>
            </w:r>
          </w:p>
        </w:tc>
        <w:tc>
          <w:tcPr>
            <w:tcW w:w="578" w:type="dxa"/>
            <w:tcBorders>
              <w:top w:val="single" w:sz="4" w:space="0" w:color="auto"/>
              <w:left w:val="single" w:sz="4" w:space="0" w:color="auto"/>
              <w:bottom w:val="single" w:sz="4" w:space="0" w:color="auto"/>
              <w:right w:val="single" w:sz="4" w:space="0" w:color="auto"/>
            </w:tcBorders>
            <w:shd w:val="clear" w:color="000000" w:fill="FFFFFF"/>
          </w:tcPr>
          <w:p w:rsidR="00721A26" w:rsidRDefault="00721A26" w:rsidP="00D90670">
            <w:pPr>
              <w:spacing w:line="288" w:lineRule="auto"/>
              <w:jc w:val="center"/>
              <w:rPr>
                <w:rFonts w:ascii="宋体" w:eastAsia="宋体" w:hAnsi="宋体" w:cs="Times New Roman"/>
                <w:color w:val="000000"/>
                <w:sz w:val="18"/>
                <w:szCs w:val="18"/>
              </w:rPr>
            </w:pPr>
            <w:r>
              <w:rPr>
                <w:rFonts w:ascii="宋体" w:eastAsia="宋体" w:hAnsi="宋体" w:cs="Times New Roman"/>
                <w:color w:val="000000"/>
                <w:sz w:val="18"/>
                <w:szCs w:val="18"/>
              </w:rPr>
              <w:t>999</w:t>
            </w:r>
          </w:p>
        </w:tc>
        <w:tc>
          <w:tcPr>
            <w:tcW w:w="578" w:type="dxa"/>
            <w:tcBorders>
              <w:top w:val="single" w:sz="4" w:space="0" w:color="auto"/>
              <w:left w:val="single" w:sz="4" w:space="0" w:color="auto"/>
              <w:bottom w:val="single" w:sz="4" w:space="0" w:color="auto"/>
              <w:right w:val="single" w:sz="4" w:space="0" w:color="auto"/>
            </w:tcBorders>
            <w:shd w:val="clear" w:color="000000" w:fill="FFFFFF"/>
          </w:tcPr>
          <w:p w:rsidR="00721A26" w:rsidRDefault="00721A26" w:rsidP="00D90670">
            <w:pPr>
              <w:spacing w:line="288" w:lineRule="auto"/>
              <w:jc w:val="center"/>
              <w:rPr>
                <w:rFonts w:ascii="宋体" w:eastAsia="宋体" w:hAnsi="宋体" w:cs="Times New Roman"/>
                <w:color w:val="000000"/>
                <w:sz w:val="18"/>
                <w:szCs w:val="18"/>
              </w:rPr>
            </w:pPr>
            <w:r>
              <w:rPr>
                <w:rFonts w:ascii="宋体" w:eastAsia="宋体" w:hAnsi="宋体" w:cs="Times New Roman"/>
                <w:color w:val="000000"/>
                <w:sz w:val="18"/>
                <w:szCs w:val="18"/>
              </w:rPr>
              <w:t>1265</w:t>
            </w:r>
          </w:p>
        </w:tc>
        <w:tc>
          <w:tcPr>
            <w:tcW w:w="578" w:type="dxa"/>
            <w:tcBorders>
              <w:top w:val="single" w:sz="4" w:space="0" w:color="auto"/>
              <w:left w:val="single" w:sz="4" w:space="0" w:color="auto"/>
              <w:bottom w:val="single" w:sz="4" w:space="0" w:color="auto"/>
              <w:right w:val="single" w:sz="4" w:space="0" w:color="auto"/>
            </w:tcBorders>
            <w:shd w:val="clear" w:color="000000" w:fill="FFFFFF"/>
          </w:tcPr>
          <w:p w:rsidR="00721A26" w:rsidRDefault="00721A26" w:rsidP="00D90670">
            <w:pPr>
              <w:spacing w:line="288" w:lineRule="auto"/>
              <w:jc w:val="center"/>
              <w:rPr>
                <w:rFonts w:ascii="宋体" w:eastAsia="宋体" w:hAnsi="宋体" w:cs="Times New Roman"/>
                <w:color w:val="000000"/>
                <w:sz w:val="18"/>
                <w:szCs w:val="18"/>
              </w:rPr>
            </w:pPr>
            <w:r>
              <w:rPr>
                <w:rFonts w:ascii="宋体" w:eastAsia="宋体" w:hAnsi="宋体" w:cs="Times New Roman" w:hint="eastAsia"/>
                <w:color w:val="000000"/>
                <w:sz w:val="18"/>
                <w:szCs w:val="18"/>
              </w:rPr>
              <w:t>F</w:t>
            </w:r>
          </w:p>
        </w:tc>
      </w:tr>
      <w:tr w:rsidR="00721A26" w:rsidTr="00D90670">
        <w:trPr>
          <w:trHeight w:val="270"/>
          <w:jc w:val="center"/>
        </w:trPr>
        <w:tc>
          <w:tcPr>
            <w:tcW w:w="578" w:type="dxa"/>
            <w:shd w:val="clear" w:color="auto" w:fill="auto"/>
            <w:vAlign w:val="center"/>
          </w:tcPr>
          <w:p w:rsidR="00721A26" w:rsidRDefault="00721A26" w:rsidP="00D90670">
            <w:pPr>
              <w:spacing w:line="288" w:lineRule="auto"/>
              <w:jc w:val="center"/>
              <w:rPr>
                <w:rFonts w:ascii="宋体" w:eastAsia="宋体" w:hAnsi="宋体" w:cs="Times New Roman"/>
                <w:color w:val="000000"/>
                <w:sz w:val="18"/>
                <w:szCs w:val="18"/>
              </w:rPr>
            </w:pPr>
            <w:r>
              <w:rPr>
                <w:rFonts w:ascii="宋体" w:eastAsia="宋体" w:hAnsi="宋体" w:cs="Times New Roman" w:hint="eastAsia"/>
                <w:color w:val="000000"/>
                <w:sz w:val="18"/>
                <w:szCs w:val="18"/>
              </w:rPr>
              <w:t>5</w:t>
            </w:r>
          </w:p>
        </w:tc>
        <w:tc>
          <w:tcPr>
            <w:tcW w:w="1836" w:type="dxa"/>
            <w:shd w:val="clear" w:color="auto" w:fill="auto"/>
            <w:vAlign w:val="center"/>
          </w:tcPr>
          <w:p w:rsidR="00721A26" w:rsidRDefault="00721A26" w:rsidP="00D90670">
            <w:pPr>
              <w:spacing w:line="288" w:lineRule="auto"/>
              <w:jc w:val="center"/>
              <w:rPr>
                <w:rFonts w:ascii="宋体" w:eastAsia="宋体" w:hAnsi="宋体" w:cs="Times New Roman"/>
                <w:color w:val="000000"/>
                <w:sz w:val="18"/>
                <w:szCs w:val="18"/>
              </w:rPr>
            </w:pPr>
            <w:r>
              <w:rPr>
                <w:rFonts w:ascii="宋体" w:eastAsia="宋体" w:hAnsi="宋体" w:cs="Times New Roman" w:hint="eastAsia"/>
                <w:color w:val="000000"/>
                <w:sz w:val="18"/>
                <w:szCs w:val="18"/>
              </w:rPr>
              <w:t>外语学院</w:t>
            </w:r>
          </w:p>
        </w:tc>
        <w:tc>
          <w:tcPr>
            <w:tcW w:w="578" w:type="dxa"/>
            <w:tcBorders>
              <w:top w:val="single" w:sz="4" w:space="0" w:color="auto"/>
              <w:left w:val="nil"/>
              <w:bottom w:val="single" w:sz="4" w:space="0" w:color="auto"/>
              <w:right w:val="single" w:sz="4" w:space="0" w:color="auto"/>
            </w:tcBorders>
            <w:shd w:val="clear" w:color="000000" w:fill="FFFFFF"/>
          </w:tcPr>
          <w:p w:rsidR="00721A26" w:rsidRDefault="00721A26" w:rsidP="00D90670">
            <w:pPr>
              <w:spacing w:line="288" w:lineRule="auto"/>
              <w:jc w:val="center"/>
              <w:rPr>
                <w:rFonts w:ascii="宋体" w:eastAsia="宋体" w:hAnsi="宋体" w:cs="Times New Roman"/>
                <w:color w:val="000000"/>
                <w:sz w:val="18"/>
                <w:szCs w:val="18"/>
              </w:rPr>
            </w:pPr>
            <w:r>
              <w:rPr>
                <w:rFonts w:ascii="宋体" w:eastAsia="宋体" w:hAnsi="宋体" w:cs="Times New Roman"/>
                <w:color w:val="000000"/>
                <w:sz w:val="18"/>
                <w:szCs w:val="18"/>
              </w:rPr>
              <w:t>263</w:t>
            </w:r>
          </w:p>
        </w:tc>
        <w:tc>
          <w:tcPr>
            <w:tcW w:w="578" w:type="dxa"/>
            <w:tcBorders>
              <w:top w:val="single" w:sz="4" w:space="0" w:color="auto"/>
              <w:left w:val="single" w:sz="4" w:space="0" w:color="auto"/>
              <w:bottom w:val="single" w:sz="4" w:space="0" w:color="auto"/>
              <w:right w:val="single" w:sz="4" w:space="0" w:color="auto"/>
            </w:tcBorders>
            <w:shd w:val="clear" w:color="000000" w:fill="FFFFFF"/>
          </w:tcPr>
          <w:p w:rsidR="00721A26" w:rsidRDefault="00721A26" w:rsidP="00D90670">
            <w:pPr>
              <w:spacing w:line="288" w:lineRule="auto"/>
              <w:jc w:val="center"/>
              <w:rPr>
                <w:rFonts w:ascii="宋体" w:eastAsia="宋体" w:hAnsi="宋体" w:cs="Times New Roman"/>
                <w:color w:val="000000"/>
                <w:sz w:val="18"/>
                <w:szCs w:val="18"/>
              </w:rPr>
            </w:pPr>
            <w:r>
              <w:rPr>
                <w:rFonts w:ascii="宋体" w:eastAsia="宋体" w:hAnsi="宋体" w:cs="Times New Roman"/>
                <w:color w:val="000000"/>
                <w:sz w:val="18"/>
                <w:szCs w:val="18"/>
              </w:rPr>
              <w:t>689</w:t>
            </w:r>
          </w:p>
        </w:tc>
        <w:tc>
          <w:tcPr>
            <w:tcW w:w="578" w:type="dxa"/>
            <w:tcBorders>
              <w:top w:val="single" w:sz="4" w:space="0" w:color="auto"/>
              <w:left w:val="single" w:sz="4" w:space="0" w:color="auto"/>
              <w:bottom w:val="single" w:sz="4" w:space="0" w:color="auto"/>
              <w:right w:val="single" w:sz="4" w:space="0" w:color="auto"/>
            </w:tcBorders>
            <w:shd w:val="clear" w:color="000000" w:fill="FFFFFF"/>
          </w:tcPr>
          <w:p w:rsidR="00721A26" w:rsidRDefault="00721A26" w:rsidP="00D90670">
            <w:pPr>
              <w:spacing w:line="288" w:lineRule="auto"/>
              <w:jc w:val="center"/>
              <w:rPr>
                <w:rFonts w:ascii="宋体" w:eastAsia="宋体" w:hAnsi="宋体" w:cs="Times New Roman"/>
                <w:color w:val="000000"/>
                <w:sz w:val="18"/>
                <w:szCs w:val="18"/>
              </w:rPr>
            </w:pPr>
            <w:r>
              <w:rPr>
                <w:rFonts w:ascii="宋体" w:eastAsia="宋体" w:hAnsi="宋体" w:cs="Times New Roman" w:hint="eastAsia"/>
                <w:color w:val="000000"/>
                <w:sz w:val="18"/>
                <w:szCs w:val="18"/>
              </w:rPr>
              <w:t>E</w:t>
            </w:r>
          </w:p>
        </w:tc>
        <w:tc>
          <w:tcPr>
            <w:tcW w:w="578" w:type="dxa"/>
            <w:tcBorders>
              <w:top w:val="single" w:sz="4" w:space="0" w:color="auto"/>
              <w:left w:val="single" w:sz="4" w:space="0" w:color="auto"/>
              <w:bottom w:val="single" w:sz="4" w:space="0" w:color="auto"/>
              <w:right w:val="single" w:sz="4" w:space="0" w:color="auto"/>
            </w:tcBorders>
            <w:shd w:val="clear" w:color="000000" w:fill="FFFFFF"/>
            <w:vAlign w:val="center"/>
          </w:tcPr>
          <w:p w:rsidR="00721A26" w:rsidRDefault="00721A26" w:rsidP="00D90670">
            <w:pPr>
              <w:spacing w:line="288" w:lineRule="auto"/>
              <w:jc w:val="center"/>
              <w:rPr>
                <w:rFonts w:ascii="宋体" w:eastAsia="宋体" w:hAnsi="宋体" w:cs="Times New Roman"/>
                <w:color w:val="000000"/>
                <w:sz w:val="18"/>
                <w:szCs w:val="18"/>
              </w:rPr>
            </w:pPr>
            <w:r>
              <w:rPr>
                <w:rFonts w:ascii="宋体" w:eastAsia="宋体" w:hAnsi="宋体" w:cs="Times New Roman" w:hint="eastAsia"/>
                <w:color w:val="000000"/>
                <w:sz w:val="18"/>
                <w:szCs w:val="18"/>
              </w:rPr>
              <w:t>15</w:t>
            </w:r>
          </w:p>
        </w:tc>
        <w:tc>
          <w:tcPr>
            <w:tcW w:w="1836" w:type="dxa"/>
            <w:tcBorders>
              <w:top w:val="single" w:sz="4" w:space="0" w:color="auto"/>
              <w:left w:val="single" w:sz="4" w:space="0" w:color="auto"/>
              <w:bottom w:val="single" w:sz="4" w:space="0" w:color="auto"/>
              <w:right w:val="single" w:sz="4" w:space="0" w:color="auto"/>
            </w:tcBorders>
            <w:shd w:val="clear" w:color="000000" w:fill="FFFFFF"/>
            <w:vAlign w:val="center"/>
          </w:tcPr>
          <w:p w:rsidR="00721A26" w:rsidRDefault="00721A26" w:rsidP="00D90670">
            <w:pPr>
              <w:spacing w:line="288" w:lineRule="auto"/>
              <w:jc w:val="center"/>
              <w:rPr>
                <w:rFonts w:ascii="宋体" w:eastAsia="宋体" w:hAnsi="宋体" w:cs="Times New Roman"/>
                <w:color w:val="000000"/>
                <w:sz w:val="18"/>
                <w:szCs w:val="18"/>
              </w:rPr>
            </w:pPr>
            <w:r>
              <w:rPr>
                <w:rFonts w:ascii="宋体" w:eastAsia="宋体" w:hAnsi="宋体" w:cs="Times New Roman" w:hint="eastAsia"/>
                <w:color w:val="000000"/>
                <w:sz w:val="18"/>
                <w:szCs w:val="18"/>
              </w:rPr>
              <w:t>化学与材料科学学院</w:t>
            </w:r>
          </w:p>
        </w:tc>
        <w:tc>
          <w:tcPr>
            <w:tcW w:w="578" w:type="dxa"/>
            <w:tcBorders>
              <w:top w:val="single" w:sz="4" w:space="0" w:color="auto"/>
              <w:left w:val="single" w:sz="4" w:space="0" w:color="auto"/>
              <w:bottom w:val="single" w:sz="4" w:space="0" w:color="auto"/>
              <w:right w:val="single" w:sz="4" w:space="0" w:color="auto"/>
            </w:tcBorders>
            <w:shd w:val="clear" w:color="000000" w:fill="FFFFFF"/>
          </w:tcPr>
          <w:p w:rsidR="00721A26" w:rsidRDefault="00721A26" w:rsidP="00D90670">
            <w:pPr>
              <w:spacing w:line="288" w:lineRule="auto"/>
              <w:jc w:val="center"/>
              <w:rPr>
                <w:rFonts w:ascii="宋体" w:eastAsia="宋体" w:hAnsi="宋体" w:cs="Times New Roman"/>
                <w:color w:val="000000"/>
                <w:sz w:val="18"/>
                <w:szCs w:val="18"/>
              </w:rPr>
            </w:pPr>
            <w:r>
              <w:rPr>
                <w:rFonts w:ascii="宋体" w:eastAsia="宋体" w:hAnsi="宋体" w:cs="Times New Roman"/>
                <w:color w:val="000000"/>
                <w:sz w:val="18"/>
                <w:szCs w:val="18"/>
              </w:rPr>
              <w:t>802</w:t>
            </w:r>
          </w:p>
        </w:tc>
        <w:tc>
          <w:tcPr>
            <w:tcW w:w="578" w:type="dxa"/>
            <w:tcBorders>
              <w:top w:val="single" w:sz="4" w:space="0" w:color="auto"/>
              <w:left w:val="single" w:sz="4" w:space="0" w:color="auto"/>
              <w:bottom w:val="single" w:sz="4" w:space="0" w:color="auto"/>
              <w:right w:val="single" w:sz="4" w:space="0" w:color="auto"/>
            </w:tcBorders>
            <w:shd w:val="clear" w:color="000000" w:fill="FFFFFF"/>
          </w:tcPr>
          <w:p w:rsidR="00721A26" w:rsidRDefault="00721A26" w:rsidP="00D90670">
            <w:pPr>
              <w:spacing w:line="288" w:lineRule="auto"/>
              <w:jc w:val="center"/>
              <w:rPr>
                <w:rFonts w:ascii="宋体" w:eastAsia="宋体" w:hAnsi="宋体" w:cs="Times New Roman"/>
                <w:color w:val="000000"/>
                <w:sz w:val="18"/>
                <w:szCs w:val="18"/>
              </w:rPr>
            </w:pPr>
            <w:r>
              <w:rPr>
                <w:rFonts w:ascii="宋体" w:eastAsia="宋体" w:hAnsi="宋体" w:cs="Times New Roman"/>
                <w:color w:val="000000"/>
                <w:sz w:val="18"/>
                <w:szCs w:val="18"/>
              </w:rPr>
              <w:t>1463</w:t>
            </w:r>
          </w:p>
        </w:tc>
        <w:tc>
          <w:tcPr>
            <w:tcW w:w="578" w:type="dxa"/>
            <w:tcBorders>
              <w:top w:val="single" w:sz="4" w:space="0" w:color="auto"/>
              <w:left w:val="single" w:sz="4" w:space="0" w:color="auto"/>
              <w:bottom w:val="single" w:sz="4" w:space="0" w:color="auto"/>
              <w:right w:val="single" w:sz="4" w:space="0" w:color="auto"/>
            </w:tcBorders>
            <w:shd w:val="clear" w:color="000000" w:fill="FFFFFF"/>
          </w:tcPr>
          <w:p w:rsidR="00721A26" w:rsidRDefault="00721A26" w:rsidP="00D90670">
            <w:pPr>
              <w:spacing w:line="288" w:lineRule="auto"/>
              <w:jc w:val="center"/>
              <w:rPr>
                <w:rFonts w:ascii="宋体" w:eastAsia="宋体" w:hAnsi="宋体" w:cs="Times New Roman"/>
                <w:color w:val="000000"/>
                <w:sz w:val="18"/>
                <w:szCs w:val="18"/>
              </w:rPr>
            </w:pPr>
            <w:r>
              <w:rPr>
                <w:rFonts w:ascii="宋体" w:eastAsia="宋体" w:hAnsi="宋体" w:cs="Times New Roman" w:hint="eastAsia"/>
                <w:color w:val="000000"/>
                <w:sz w:val="18"/>
                <w:szCs w:val="18"/>
              </w:rPr>
              <w:t>F</w:t>
            </w:r>
          </w:p>
        </w:tc>
      </w:tr>
      <w:tr w:rsidR="00721A26" w:rsidTr="00D90670">
        <w:trPr>
          <w:trHeight w:val="270"/>
          <w:jc w:val="center"/>
        </w:trPr>
        <w:tc>
          <w:tcPr>
            <w:tcW w:w="578" w:type="dxa"/>
            <w:shd w:val="clear" w:color="auto" w:fill="auto"/>
            <w:vAlign w:val="center"/>
          </w:tcPr>
          <w:p w:rsidR="00721A26" w:rsidRDefault="00721A26" w:rsidP="00D90670">
            <w:pPr>
              <w:spacing w:line="288" w:lineRule="auto"/>
              <w:jc w:val="center"/>
              <w:rPr>
                <w:rFonts w:ascii="宋体" w:eastAsia="宋体" w:hAnsi="宋体" w:cs="Times New Roman"/>
                <w:color w:val="000000"/>
                <w:sz w:val="18"/>
                <w:szCs w:val="18"/>
              </w:rPr>
            </w:pPr>
            <w:r>
              <w:rPr>
                <w:rFonts w:ascii="宋体" w:eastAsia="宋体" w:hAnsi="宋体" w:cs="Times New Roman" w:hint="eastAsia"/>
                <w:color w:val="000000"/>
                <w:sz w:val="18"/>
                <w:szCs w:val="18"/>
              </w:rPr>
              <w:t>6</w:t>
            </w:r>
          </w:p>
        </w:tc>
        <w:tc>
          <w:tcPr>
            <w:tcW w:w="1836" w:type="dxa"/>
            <w:shd w:val="clear" w:color="auto" w:fill="auto"/>
            <w:vAlign w:val="center"/>
          </w:tcPr>
          <w:p w:rsidR="00721A26" w:rsidRDefault="00721A26" w:rsidP="00D90670">
            <w:pPr>
              <w:spacing w:line="288" w:lineRule="auto"/>
              <w:jc w:val="center"/>
              <w:rPr>
                <w:rFonts w:ascii="宋体" w:eastAsia="宋体" w:hAnsi="宋体" w:cs="Times New Roman"/>
                <w:color w:val="000000"/>
                <w:sz w:val="18"/>
                <w:szCs w:val="18"/>
              </w:rPr>
            </w:pPr>
            <w:r>
              <w:rPr>
                <w:rFonts w:ascii="宋体" w:eastAsia="宋体" w:hAnsi="宋体" w:cs="Times New Roman" w:hint="eastAsia"/>
                <w:color w:val="000000"/>
                <w:sz w:val="18"/>
                <w:szCs w:val="18"/>
              </w:rPr>
              <w:t>经济学院</w:t>
            </w:r>
          </w:p>
        </w:tc>
        <w:tc>
          <w:tcPr>
            <w:tcW w:w="578" w:type="dxa"/>
            <w:tcBorders>
              <w:top w:val="single" w:sz="4" w:space="0" w:color="auto"/>
              <w:left w:val="nil"/>
              <w:bottom w:val="single" w:sz="4" w:space="0" w:color="auto"/>
              <w:right w:val="single" w:sz="4" w:space="0" w:color="auto"/>
            </w:tcBorders>
            <w:shd w:val="clear" w:color="000000" w:fill="FFFFFF"/>
          </w:tcPr>
          <w:p w:rsidR="00721A26" w:rsidRDefault="00721A26" w:rsidP="00D90670">
            <w:pPr>
              <w:spacing w:line="288" w:lineRule="auto"/>
              <w:jc w:val="center"/>
              <w:rPr>
                <w:rFonts w:ascii="宋体" w:eastAsia="宋体" w:hAnsi="宋体" w:cs="Times New Roman"/>
                <w:color w:val="000000"/>
                <w:sz w:val="18"/>
                <w:szCs w:val="18"/>
              </w:rPr>
            </w:pPr>
            <w:r>
              <w:rPr>
                <w:rFonts w:ascii="宋体" w:eastAsia="宋体" w:hAnsi="宋体" w:cs="Times New Roman"/>
                <w:color w:val="000000"/>
                <w:sz w:val="18"/>
                <w:szCs w:val="18"/>
              </w:rPr>
              <w:t>820</w:t>
            </w:r>
          </w:p>
        </w:tc>
        <w:tc>
          <w:tcPr>
            <w:tcW w:w="578" w:type="dxa"/>
            <w:tcBorders>
              <w:top w:val="single" w:sz="4" w:space="0" w:color="auto"/>
              <w:left w:val="single" w:sz="4" w:space="0" w:color="auto"/>
              <w:bottom w:val="single" w:sz="4" w:space="0" w:color="auto"/>
              <w:right w:val="single" w:sz="4" w:space="0" w:color="auto"/>
            </w:tcBorders>
            <w:shd w:val="clear" w:color="000000" w:fill="FFFFFF"/>
          </w:tcPr>
          <w:p w:rsidR="00721A26" w:rsidRDefault="00721A26" w:rsidP="00D90670">
            <w:pPr>
              <w:spacing w:line="288" w:lineRule="auto"/>
              <w:jc w:val="center"/>
              <w:rPr>
                <w:rFonts w:ascii="宋体" w:eastAsia="宋体" w:hAnsi="宋体" w:cs="Times New Roman"/>
                <w:color w:val="000000"/>
                <w:sz w:val="18"/>
                <w:szCs w:val="18"/>
              </w:rPr>
            </w:pPr>
            <w:r>
              <w:rPr>
                <w:rFonts w:ascii="宋体" w:eastAsia="宋体" w:hAnsi="宋体" w:cs="Times New Roman"/>
                <w:color w:val="000000"/>
                <w:sz w:val="18"/>
                <w:szCs w:val="18"/>
              </w:rPr>
              <w:t>2355</w:t>
            </w:r>
          </w:p>
        </w:tc>
        <w:tc>
          <w:tcPr>
            <w:tcW w:w="578" w:type="dxa"/>
            <w:tcBorders>
              <w:top w:val="single" w:sz="4" w:space="0" w:color="auto"/>
              <w:left w:val="single" w:sz="4" w:space="0" w:color="auto"/>
              <w:bottom w:val="single" w:sz="4" w:space="0" w:color="auto"/>
              <w:right w:val="single" w:sz="4" w:space="0" w:color="auto"/>
            </w:tcBorders>
            <w:shd w:val="clear" w:color="000000" w:fill="FFFFFF"/>
          </w:tcPr>
          <w:p w:rsidR="00721A26" w:rsidRDefault="00721A26" w:rsidP="00D90670">
            <w:pPr>
              <w:spacing w:line="288" w:lineRule="auto"/>
              <w:jc w:val="center"/>
              <w:rPr>
                <w:rFonts w:ascii="宋体" w:eastAsia="宋体" w:hAnsi="宋体" w:cs="Times New Roman"/>
                <w:color w:val="000000"/>
                <w:sz w:val="18"/>
                <w:szCs w:val="18"/>
              </w:rPr>
            </w:pPr>
            <w:r>
              <w:rPr>
                <w:rFonts w:ascii="宋体" w:eastAsia="宋体" w:hAnsi="宋体" w:cs="Times New Roman" w:hint="eastAsia"/>
                <w:color w:val="000000"/>
                <w:sz w:val="18"/>
                <w:szCs w:val="18"/>
              </w:rPr>
              <w:t>E</w:t>
            </w:r>
          </w:p>
        </w:tc>
        <w:tc>
          <w:tcPr>
            <w:tcW w:w="578" w:type="dxa"/>
            <w:tcBorders>
              <w:top w:val="single" w:sz="4" w:space="0" w:color="auto"/>
              <w:left w:val="single" w:sz="4" w:space="0" w:color="auto"/>
              <w:bottom w:val="single" w:sz="4" w:space="0" w:color="auto"/>
              <w:right w:val="single" w:sz="4" w:space="0" w:color="auto"/>
            </w:tcBorders>
            <w:shd w:val="clear" w:color="000000" w:fill="FFFFFF"/>
            <w:vAlign w:val="center"/>
          </w:tcPr>
          <w:p w:rsidR="00721A26" w:rsidRDefault="00721A26" w:rsidP="00D90670">
            <w:pPr>
              <w:spacing w:line="288" w:lineRule="auto"/>
              <w:jc w:val="center"/>
              <w:rPr>
                <w:rFonts w:ascii="宋体" w:eastAsia="宋体" w:hAnsi="宋体" w:cs="Times New Roman"/>
                <w:color w:val="000000"/>
                <w:sz w:val="18"/>
                <w:szCs w:val="18"/>
              </w:rPr>
            </w:pPr>
            <w:r>
              <w:rPr>
                <w:rFonts w:ascii="宋体" w:eastAsia="宋体" w:hAnsi="宋体" w:cs="Times New Roman" w:hint="eastAsia"/>
                <w:color w:val="000000"/>
                <w:sz w:val="18"/>
                <w:szCs w:val="18"/>
              </w:rPr>
              <w:t>16</w:t>
            </w:r>
          </w:p>
        </w:tc>
        <w:tc>
          <w:tcPr>
            <w:tcW w:w="1836" w:type="dxa"/>
            <w:tcBorders>
              <w:top w:val="single" w:sz="4" w:space="0" w:color="auto"/>
              <w:left w:val="single" w:sz="4" w:space="0" w:color="auto"/>
              <w:bottom w:val="single" w:sz="4" w:space="0" w:color="auto"/>
              <w:right w:val="single" w:sz="4" w:space="0" w:color="auto"/>
            </w:tcBorders>
            <w:shd w:val="clear" w:color="000000" w:fill="FFFFFF"/>
            <w:vAlign w:val="center"/>
          </w:tcPr>
          <w:p w:rsidR="00721A26" w:rsidRDefault="00721A26" w:rsidP="00D90670">
            <w:pPr>
              <w:spacing w:line="288" w:lineRule="auto"/>
              <w:jc w:val="center"/>
              <w:rPr>
                <w:rFonts w:ascii="宋体" w:eastAsia="宋体" w:hAnsi="宋体" w:cs="Times New Roman"/>
                <w:color w:val="000000"/>
                <w:sz w:val="18"/>
                <w:szCs w:val="18"/>
              </w:rPr>
            </w:pPr>
            <w:r>
              <w:rPr>
                <w:rFonts w:ascii="宋体" w:eastAsia="宋体" w:hAnsi="宋体" w:cs="Times New Roman" w:hint="eastAsia"/>
                <w:color w:val="000000"/>
                <w:sz w:val="18"/>
                <w:szCs w:val="18"/>
              </w:rPr>
              <w:t>资源与环境学院</w:t>
            </w:r>
          </w:p>
        </w:tc>
        <w:tc>
          <w:tcPr>
            <w:tcW w:w="578" w:type="dxa"/>
            <w:tcBorders>
              <w:top w:val="single" w:sz="4" w:space="0" w:color="auto"/>
              <w:left w:val="single" w:sz="4" w:space="0" w:color="auto"/>
              <w:bottom w:val="single" w:sz="4" w:space="0" w:color="auto"/>
              <w:right w:val="single" w:sz="4" w:space="0" w:color="auto"/>
            </w:tcBorders>
            <w:shd w:val="clear" w:color="000000" w:fill="FFFFFF"/>
          </w:tcPr>
          <w:p w:rsidR="00721A26" w:rsidRDefault="00721A26" w:rsidP="00D90670">
            <w:pPr>
              <w:spacing w:line="288" w:lineRule="auto"/>
              <w:jc w:val="center"/>
              <w:rPr>
                <w:rFonts w:ascii="宋体" w:eastAsia="宋体" w:hAnsi="宋体" w:cs="Times New Roman"/>
                <w:color w:val="000000"/>
                <w:sz w:val="18"/>
                <w:szCs w:val="18"/>
              </w:rPr>
            </w:pPr>
            <w:r>
              <w:rPr>
                <w:rFonts w:ascii="宋体" w:eastAsia="宋体" w:hAnsi="宋体" w:cs="Times New Roman"/>
                <w:color w:val="000000"/>
                <w:sz w:val="18"/>
                <w:szCs w:val="18"/>
              </w:rPr>
              <w:t>339</w:t>
            </w:r>
          </w:p>
        </w:tc>
        <w:tc>
          <w:tcPr>
            <w:tcW w:w="578" w:type="dxa"/>
            <w:tcBorders>
              <w:top w:val="single" w:sz="4" w:space="0" w:color="auto"/>
              <w:left w:val="single" w:sz="4" w:space="0" w:color="auto"/>
              <w:bottom w:val="single" w:sz="4" w:space="0" w:color="auto"/>
              <w:right w:val="single" w:sz="4" w:space="0" w:color="auto"/>
            </w:tcBorders>
            <w:shd w:val="clear" w:color="000000" w:fill="FFFFFF"/>
          </w:tcPr>
          <w:p w:rsidR="00721A26" w:rsidRDefault="00721A26" w:rsidP="00D90670">
            <w:pPr>
              <w:spacing w:line="288" w:lineRule="auto"/>
              <w:jc w:val="center"/>
              <w:rPr>
                <w:rFonts w:ascii="宋体" w:eastAsia="宋体" w:hAnsi="宋体" w:cs="Times New Roman"/>
                <w:color w:val="000000"/>
                <w:sz w:val="18"/>
                <w:szCs w:val="18"/>
              </w:rPr>
            </w:pPr>
            <w:r>
              <w:rPr>
                <w:rFonts w:ascii="宋体" w:eastAsia="宋体" w:hAnsi="宋体" w:cs="Times New Roman"/>
                <w:color w:val="000000"/>
                <w:sz w:val="18"/>
                <w:szCs w:val="18"/>
              </w:rPr>
              <w:t>585</w:t>
            </w:r>
          </w:p>
        </w:tc>
        <w:tc>
          <w:tcPr>
            <w:tcW w:w="578" w:type="dxa"/>
            <w:tcBorders>
              <w:top w:val="single" w:sz="4" w:space="0" w:color="auto"/>
              <w:left w:val="single" w:sz="4" w:space="0" w:color="auto"/>
              <w:bottom w:val="single" w:sz="4" w:space="0" w:color="auto"/>
              <w:right w:val="single" w:sz="4" w:space="0" w:color="auto"/>
            </w:tcBorders>
            <w:shd w:val="clear" w:color="000000" w:fill="FFFFFF"/>
          </w:tcPr>
          <w:p w:rsidR="00721A26" w:rsidRDefault="00721A26" w:rsidP="00D90670">
            <w:pPr>
              <w:spacing w:line="288" w:lineRule="auto"/>
              <w:jc w:val="center"/>
              <w:rPr>
                <w:rFonts w:ascii="宋体" w:eastAsia="宋体" w:hAnsi="宋体" w:cs="Times New Roman"/>
                <w:color w:val="000000"/>
                <w:sz w:val="18"/>
                <w:szCs w:val="18"/>
              </w:rPr>
            </w:pPr>
            <w:r>
              <w:rPr>
                <w:rFonts w:ascii="宋体" w:eastAsia="宋体" w:hAnsi="宋体" w:cs="Times New Roman" w:hint="eastAsia"/>
                <w:color w:val="000000"/>
                <w:sz w:val="18"/>
                <w:szCs w:val="18"/>
              </w:rPr>
              <w:t>B</w:t>
            </w:r>
          </w:p>
        </w:tc>
      </w:tr>
      <w:tr w:rsidR="00721A26" w:rsidTr="00D90670">
        <w:trPr>
          <w:trHeight w:val="270"/>
          <w:jc w:val="center"/>
        </w:trPr>
        <w:tc>
          <w:tcPr>
            <w:tcW w:w="578" w:type="dxa"/>
            <w:shd w:val="clear" w:color="auto" w:fill="auto"/>
            <w:vAlign w:val="center"/>
          </w:tcPr>
          <w:p w:rsidR="00721A26" w:rsidRDefault="00721A26" w:rsidP="00D90670">
            <w:pPr>
              <w:spacing w:line="288" w:lineRule="auto"/>
              <w:jc w:val="center"/>
              <w:rPr>
                <w:rFonts w:ascii="宋体" w:eastAsia="宋体" w:hAnsi="宋体" w:cs="Times New Roman"/>
                <w:color w:val="000000"/>
                <w:sz w:val="18"/>
                <w:szCs w:val="18"/>
              </w:rPr>
            </w:pPr>
            <w:r>
              <w:rPr>
                <w:rFonts w:ascii="宋体" w:eastAsia="宋体" w:hAnsi="宋体" w:cs="Times New Roman" w:hint="eastAsia"/>
                <w:color w:val="000000"/>
                <w:sz w:val="18"/>
                <w:szCs w:val="18"/>
              </w:rPr>
              <w:t>7</w:t>
            </w:r>
          </w:p>
        </w:tc>
        <w:tc>
          <w:tcPr>
            <w:tcW w:w="1836" w:type="dxa"/>
            <w:shd w:val="clear" w:color="auto" w:fill="auto"/>
            <w:vAlign w:val="center"/>
          </w:tcPr>
          <w:p w:rsidR="00721A26" w:rsidRDefault="00721A26" w:rsidP="00D90670">
            <w:pPr>
              <w:spacing w:line="288" w:lineRule="auto"/>
              <w:jc w:val="center"/>
              <w:rPr>
                <w:rFonts w:ascii="宋体" w:eastAsia="宋体" w:hAnsi="宋体" w:cs="Times New Roman"/>
                <w:color w:val="000000"/>
                <w:sz w:val="18"/>
                <w:szCs w:val="18"/>
              </w:rPr>
            </w:pPr>
            <w:r>
              <w:rPr>
                <w:rFonts w:ascii="宋体" w:eastAsia="宋体" w:hAnsi="宋体" w:cs="Times New Roman" w:hint="eastAsia"/>
                <w:color w:val="000000"/>
                <w:sz w:val="18"/>
                <w:szCs w:val="18"/>
              </w:rPr>
              <w:t>管理学院</w:t>
            </w:r>
          </w:p>
        </w:tc>
        <w:tc>
          <w:tcPr>
            <w:tcW w:w="578" w:type="dxa"/>
            <w:tcBorders>
              <w:top w:val="single" w:sz="4" w:space="0" w:color="auto"/>
              <w:left w:val="nil"/>
              <w:bottom w:val="single" w:sz="4" w:space="0" w:color="auto"/>
              <w:right w:val="single" w:sz="4" w:space="0" w:color="auto"/>
            </w:tcBorders>
            <w:shd w:val="clear" w:color="000000" w:fill="FFFFFF"/>
          </w:tcPr>
          <w:p w:rsidR="00721A26" w:rsidRDefault="00721A26" w:rsidP="00D90670">
            <w:pPr>
              <w:spacing w:line="288" w:lineRule="auto"/>
              <w:jc w:val="center"/>
              <w:rPr>
                <w:rFonts w:ascii="宋体" w:eastAsia="宋体" w:hAnsi="宋体" w:cs="Times New Roman"/>
                <w:color w:val="000000"/>
                <w:sz w:val="18"/>
                <w:szCs w:val="18"/>
              </w:rPr>
            </w:pPr>
            <w:r>
              <w:rPr>
                <w:rFonts w:ascii="宋体" w:eastAsia="宋体" w:hAnsi="宋体" w:cs="Times New Roman"/>
                <w:color w:val="000000"/>
                <w:sz w:val="18"/>
                <w:szCs w:val="18"/>
              </w:rPr>
              <w:t>794</w:t>
            </w:r>
          </w:p>
        </w:tc>
        <w:tc>
          <w:tcPr>
            <w:tcW w:w="578" w:type="dxa"/>
            <w:tcBorders>
              <w:top w:val="single" w:sz="4" w:space="0" w:color="auto"/>
              <w:left w:val="single" w:sz="4" w:space="0" w:color="auto"/>
              <w:bottom w:val="single" w:sz="4" w:space="0" w:color="auto"/>
              <w:right w:val="single" w:sz="4" w:space="0" w:color="auto"/>
            </w:tcBorders>
            <w:shd w:val="clear" w:color="000000" w:fill="FFFFFF"/>
          </w:tcPr>
          <w:p w:rsidR="00721A26" w:rsidRDefault="00721A26" w:rsidP="00D90670">
            <w:pPr>
              <w:spacing w:line="288" w:lineRule="auto"/>
              <w:jc w:val="center"/>
              <w:rPr>
                <w:rFonts w:ascii="宋体" w:eastAsia="宋体" w:hAnsi="宋体" w:cs="Times New Roman"/>
                <w:color w:val="000000"/>
                <w:sz w:val="18"/>
                <w:szCs w:val="18"/>
              </w:rPr>
            </w:pPr>
            <w:r>
              <w:rPr>
                <w:rFonts w:ascii="宋体" w:eastAsia="宋体" w:hAnsi="宋体" w:cs="Times New Roman"/>
                <w:color w:val="000000"/>
                <w:sz w:val="18"/>
                <w:szCs w:val="18"/>
              </w:rPr>
              <w:t>1789</w:t>
            </w:r>
          </w:p>
        </w:tc>
        <w:tc>
          <w:tcPr>
            <w:tcW w:w="578" w:type="dxa"/>
            <w:tcBorders>
              <w:top w:val="single" w:sz="4" w:space="0" w:color="auto"/>
              <w:left w:val="single" w:sz="4" w:space="0" w:color="auto"/>
              <w:bottom w:val="single" w:sz="4" w:space="0" w:color="auto"/>
              <w:right w:val="single" w:sz="4" w:space="0" w:color="auto"/>
            </w:tcBorders>
            <w:shd w:val="clear" w:color="000000" w:fill="FFFFFF"/>
          </w:tcPr>
          <w:p w:rsidR="00721A26" w:rsidRDefault="00721A26" w:rsidP="00D90670">
            <w:pPr>
              <w:spacing w:line="288" w:lineRule="auto"/>
              <w:jc w:val="center"/>
              <w:rPr>
                <w:rFonts w:ascii="宋体" w:eastAsia="宋体" w:hAnsi="宋体" w:cs="Times New Roman"/>
                <w:color w:val="000000"/>
                <w:sz w:val="18"/>
                <w:szCs w:val="18"/>
              </w:rPr>
            </w:pPr>
            <w:r>
              <w:rPr>
                <w:rFonts w:ascii="宋体" w:eastAsia="宋体" w:hAnsi="宋体" w:cs="Times New Roman" w:hint="eastAsia"/>
                <w:color w:val="000000"/>
                <w:sz w:val="18"/>
                <w:szCs w:val="18"/>
              </w:rPr>
              <w:t>D</w:t>
            </w:r>
          </w:p>
        </w:tc>
        <w:tc>
          <w:tcPr>
            <w:tcW w:w="578" w:type="dxa"/>
            <w:tcBorders>
              <w:top w:val="single" w:sz="4" w:space="0" w:color="auto"/>
              <w:left w:val="single" w:sz="4" w:space="0" w:color="auto"/>
              <w:bottom w:val="single" w:sz="4" w:space="0" w:color="auto"/>
              <w:right w:val="single" w:sz="4" w:space="0" w:color="auto"/>
            </w:tcBorders>
            <w:shd w:val="clear" w:color="000000" w:fill="FFFFFF"/>
            <w:vAlign w:val="center"/>
          </w:tcPr>
          <w:p w:rsidR="00721A26" w:rsidRDefault="00721A26" w:rsidP="00D90670">
            <w:pPr>
              <w:spacing w:line="288" w:lineRule="auto"/>
              <w:jc w:val="center"/>
              <w:rPr>
                <w:rFonts w:ascii="宋体" w:eastAsia="宋体" w:hAnsi="宋体" w:cs="Times New Roman"/>
                <w:color w:val="000000"/>
                <w:sz w:val="18"/>
                <w:szCs w:val="18"/>
              </w:rPr>
            </w:pPr>
            <w:r>
              <w:rPr>
                <w:rFonts w:ascii="宋体" w:eastAsia="宋体" w:hAnsi="宋体" w:cs="Times New Roman" w:hint="eastAsia"/>
                <w:color w:val="000000"/>
                <w:sz w:val="18"/>
                <w:szCs w:val="18"/>
              </w:rPr>
              <w:t>17</w:t>
            </w:r>
          </w:p>
        </w:tc>
        <w:tc>
          <w:tcPr>
            <w:tcW w:w="1836" w:type="dxa"/>
            <w:tcBorders>
              <w:top w:val="single" w:sz="4" w:space="0" w:color="auto"/>
              <w:left w:val="single" w:sz="4" w:space="0" w:color="auto"/>
              <w:bottom w:val="single" w:sz="4" w:space="0" w:color="auto"/>
              <w:right w:val="single" w:sz="4" w:space="0" w:color="auto"/>
            </w:tcBorders>
            <w:shd w:val="clear" w:color="000000" w:fill="FFFFFF"/>
            <w:vAlign w:val="center"/>
          </w:tcPr>
          <w:p w:rsidR="00721A26" w:rsidRDefault="00721A26" w:rsidP="00D90670">
            <w:pPr>
              <w:spacing w:line="288" w:lineRule="auto"/>
              <w:jc w:val="center"/>
              <w:rPr>
                <w:rFonts w:ascii="宋体" w:eastAsia="宋体" w:hAnsi="宋体" w:cs="Times New Roman"/>
                <w:color w:val="000000"/>
                <w:sz w:val="18"/>
                <w:szCs w:val="18"/>
              </w:rPr>
            </w:pPr>
            <w:r>
              <w:rPr>
                <w:rFonts w:ascii="宋体" w:eastAsia="宋体" w:hAnsi="宋体" w:cs="Times New Roman" w:hint="eastAsia"/>
                <w:color w:val="000000"/>
                <w:sz w:val="18"/>
                <w:szCs w:val="18"/>
              </w:rPr>
              <w:t>生命科学学院</w:t>
            </w:r>
          </w:p>
        </w:tc>
        <w:tc>
          <w:tcPr>
            <w:tcW w:w="578" w:type="dxa"/>
            <w:tcBorders>
              <w:top w:val="single" w:sz="4" w:space="0" w:color="auto"/>
              <w:left w:val="single" w:sz="4" w:space="0" w:color="auto"/>
              <w:bottom w:val="single" w:sz="4" w:space="0" w:color="auto"/>
              <w:right w:val="single" w:sz="4" w:space="0" w:color="auto"/>
            </w:tcBorders>
            <w:shd w:val="clear" w:color="000000" w:fill="FFFFFF"/>
          </w:tcPr>
          <w:p w:rsidR="00721A26" w:rsidRDefault="00721A26" w:rsidP="00D90670">
            <w:pPr>
              <w:spacing w:line="288" w:lineRule="auto"/>
              <w:jc w:val="center"/>
              <w:rPr>
                <w:rFonts w:ascii="宋体" w:eastAsia="宋体" w:hAnsi="宋体" w:cs="Times New Roman"/>
                <w:color w:val="000000"/>
                <w:sz w:val="18"/>
                <w:szCs w:val="18"/>
              </w:rPr>
            </w:pPr>
            <w:r>
              <w:rPr>
                <w:rFonts w:ascii="宋体" w:eastAsia="宋体" w:hAnsi="宋体" w:cs="Times New Roman"/>
                <w:color w:val="000000"/>
                <w:sz w:val="18"/>
                <w:szCs w:val="18"/>
              </w:rPr>
              <w:t>530</w:t>
            </w:r>
          </w:p>
        </w:tc>
        <w:tc>
          <w:tcPr>
            <w:tcW w:w="578" w:type="dxa"/>
            <w:tcBorders>
              <w:top w:val="single" w:sz="4" w:space="0" w:color="auto"/>
              <w:left w:val="single" w:sz="4" w:space="0" w:color="auto"/>
              <w:bottom w:val="single" w:sz="4" w:space="0" w:color="auto"/>
              <w:right w:val="single" w:sz="4" w:space="0" w:color="auto"/>
            </w:tcBorders>
            <w:shd w:val="clear" w:color="000000" w:fill="FFFFFF"/>
          </w:tcPr>
          <w:p w:rsidR="00721A26" w:rsidRDefault="00721A26" w:rsidP="00D90670">
            <w:pPr>
              <w:spacing w:line="288" w:lineRule="auto"/>
              <w:jc w:val="center"/>
              <w:rPr>
                <w:rFonts w:ascii="宋体" w:eastAsia="宋体" w:hAnsi="宋体" w:cs="Times New Roman"/>
                <w:color w:val="000000"/>
                <w:sz w:val="18"/>
                <w:szCs w:val="18"/>
              </w:rPr>
            </w:pPr>
            <w:r>
              <w:rPr>
                <w:rFonts w:ascii="宋体" w:eastAsia="宋体" w:hAnsi="宋体" w:cs="Times New Roman"/>
                <w:color w:val="000000"/>
                <w:sz w:val="18"/>
                <w:szCs w:val="18"/>
              </w:rPr>
              <w:t>785</w:t>
            </w:r>
          </w:p>
        </w:tc>
        <w:tc>
          <w:tcPr>
            <w:tcW w:w="578" w:type="dxa"/>
            <w:tcBorders>
              <w:top w:val="single" w:sz="4" w:space="0" w:color="auto"/>
              <w:left w:val="single" w:sz="4" w:space="0" w:color="auto"/>
              <w:bottom w:val="single" w:sz="4" w:space="0" w:color="auto"/>
              <w:right w:val="single" w:sz="4" w:space="0" w:color="auto"/>
            </w:tcBorders>
            <w:shd w:val="clear" w:color="000000" w:fill="FFFFFF"/>
          </w:tcPr>
          <w:p w:rsidR="00721A26" w:rsidRDefault="00721A26" w:rsidP="00D90670">
            <w:pPr>
              <w:spacing w:line="288" w:lineRule="auto"/>
              <w:jc w:val="center"/>
              <w:rPr>
                <w:rFonts w:ascii="宋体" w:eastAsia="宋体" w:hAnsi="宋体" w:cs="Times New Roman"/>
                <w:color w:val="000000"/>
                <w:sz w:val="18"/>
                <w:szCs w:val="18"/>
              </w:rPr>
            </w:pPr>
            <w:r>
              <w:rPr>
                <w:rFonts w:ascii="宋体" w:eastAsia="宋体" w:hAnsi="宋体" w:cs="Times New Roman" w:hint="eastAsia"/>
                <w:color w:val="000000"/>
                <w:sz w:val="18"/>
                <w:szCs w:val="18"/>
              </w:rPr>
              <w:t>A</w:t>
            </w:r>
          </w:p>
        </w:tc>
      </w:tr>
      <w:tr w:rsidR="00721A26" w:rsidTr="00D90670">
        <w:trPr>
          <w:trHeight w:val="270"/>
          <w:jc w:val="center"/>
        </w:trPr>
        <w:tc>
          <w:tcPr>
            <w:tcW w:w="578" w:type="dxa"/>
            <w:shd w:val="clear" w:color="auto" w:fill="auto"/>
            <w:vAlign w:val="center"/>
          </w:tcPr>
          <w:p w:rsidR="00721A26" w:rsidRDefault="00721A26" w:rsidP="00D90670">
            <w:pPr>
              <w:spacing w:line="288" w:lineRule="auto"/>
              <w:jc w:val="center"/>
              <w:rPr>
                <w:rFonts w:ascii="宋体" w:eastAsia="宋体" w:hAnsi="宋体" w:cs="Times New Roman"/>
                <w:color w:val="000000"/>
                <w:sz w:val="18"/>
                <w:szCs w:val="18"/>
              </w:rPr>
            </w:pPr>
            <w:r>
              <w:rPr>
                <w:rFonts w:ascii="宋体" w:eastAsia="宋体" w:hAnsi="宋体" w:cs="Times New Roman" w:hint="eastAsia"/>
                <w:color w:val="000000"/>
                <w:sz w:val="18"/>
                <w:szCs w:val="18"/>
              </w:rPr>
              <w:t>8</w:t>
            </w:r>
          </w:p>
        </w:tc>
        <w:tc>
          <w:tcPr>
            <w:tcW w:w="1836" w:type="dxa"/>
            <w:shd w:val="clear" w:color="auto" w:fill="auto"/>
            <w:vAlign w:val="center"/>
          </w:tcPr>
          <w:p w:rsidR="00721A26" w:rsidRDefault="00721A26" w:rsidP="00D90670">
            <w:pPr>
              <w:spacing w:line="288" w:lineRule="auto"/>
              <w:jc w:val="center"/>
              <w:rPr>
                <w:rFonts w:ascii="宋体" w:eastAsia="宋体" w:hAnsi="宋体" w:cs="Times New Roman"/>
                <w:color w:val="000000"/>
                <w:sz w:val="18"/>
                <w:szCs w:val="18"/>
              </w:rPr>
            </w:pPr>
            <w:r>
              <w:rPr>
                <w:rFonts w:ascii="宋体" w:eastAsia="宋体" w:hAnsi="宋体" w:cs="Times New Roman" w:hint="eastAsia"/>
                <w:color w:val="000000"/>
                <w:sz w:val="18"/>
                <w:szCs w:val="18"/>
              </w:rPr>
              <w:t>公共管理学院</w:t>
            </w:r>
          </w:p>
        </w:tc>
        <w:tc>
          <w:tcPr>
            <w:tcW w:w="578" w:type="dxa"/>
            <w:tcBorders>
              <w:top w:val="single" w:sz="4" w:space="0" w:color="auto"/>
              <w:left w:val="nil"/>
              <w:bottom w:val="single" w:sz="4" w:space="0" w:color="auto"/>
              <w:right w:val="single" w:sz="4" w:space="0" w:color="auto"/>
            </w:tcBorders>
            <w:shd w:val="clear" w:color="000000" w:fill="FFFFFF"/>
          </w:tcPr>
          <w:p w:rsidR="00721A26" w:rsidRDefault="00721A26" w:rsidP="00D90670">
            <w:pPr>
              <w:spacing w:line="288" w:lineRule="auto"/>
              <w:jc w:val="center"/>
              <w:rPr>
                <w:rFonts w:ascii="宋体" w:eastAsia="宋体" w:hAnsi="宋体" w:cs="Times New Roman"/>
                <w:color w:val="000000"/>
                <w:sz w:val="18"/>
                <w:szCs w:val="18"/>
              </w:rPr>
            </w:pPr>
            <w:r>
              <w:rPr>
                <w:rFonts w:ascii="宋体" w:eastAsia="宋体" w:hAnsi="宋体" w:cs="Times New Roman"/>
                <w:color w:val="000000"/>
                <w:sz w:val="18"/>
                <w:szCs w:val="18"/>
              </w:rPr>
              <w:t>410</w:t>
            </w:r>
          </w:p>
        </w:tc>
        <w:tc>
          <w:tcPr>
            <w:tcW w:w="578" w:type="dxa"/>
            <w:tcBorders>
              <w:top w:val="single" w:sz="4" w:space="0" w:color="auto"/>
              <w:left w:val="single" w:sz="4" w:space="0" w:color="auto"/>
              <w:bottom w:val="single" w:sz="4" w:space="0" w:color="auto"/>
              <w:right w:val="single" w:sz="4" w:space="0" w:color="auto"/>
            </w:tcBorders>
            <w:shd w:val="clear" w:color="000000" w:fill="FFFFFF"/>
          </w:tcPr>
          <w:p w:rsidR="00721A26" w:rsidRDefault="00721A26" w:rsidP="00D90670">
            <w:pPr>
              <w:spacing w:line="288" w:lineRule="auto"/>
              <w:jc w:val="center"/>
              <w:rPr>
                <w:rFonts w:ascii="宋体" w:eastAsia="宋体" w:hAnsi="宋体" w:cs="Times New Roman"/>
                <w:color w:val="000000"/>
                <w:sz w:val="18"/>
                <w:szCs w:val="18"/>
              </w:rPr>
            </w:pPr>
            <w:r>
              <w:rPr>
                <w:rFonts w:ascii="宋体" w:eastAsia="宋体" w:hAnsi="宋体" w:cs="Times New Roman"/>
                <w:color w:val="000000"/>
                <w:sz w:val="18"/>
                <w:szCs w:val="18"/>
              </w:rPr>
              <w:t>845</w:t>
            </w:r>
          </w:p>
        </w:tc>
        <w:tc>
          <w:tcPr>
            <w:tcW w:w="578" w:type="dxa"/>
            <w:tcBorders>
              <w:top w:val="single" w:sz="4" w:space="0" w:color="auto"/>
              <w:left w:val="single" w:sz="4" w:space="0" w:color="auto"/>
              <w:bottom w:val="single" w:sz="4" w:space="0" w:color="auto"/>
              <w:right w:val="single" w:sz="4" w:space="0" w:color="auto"/>
            </w:tcBorders>
            <w:shd w:val="clear" w:color="000000" w:fill="FFFFFF"/>
          </w:tcPr>
          <w:p w:rsidR="00721A26" w:rsidRDefault="00721A26" w:rsidP="00D90670">
            <w:pPr>
              <w:spacing w:line="288" w:lineRule="auto"/>
              <w:jc w:val="center"/>
              <w:rPr>
                <w:rFonts w:ascii="宋体" w:eastAsia="宋体" w:hAnsi="宋体" w:cs="Times New Roman"/>
                <w:color w:val="000000"/>
                <w:sz w:val="18"/>
                <w:szCs w:val="18"/>
              </w:rPr>
            </w:pPr>
            <w:r>
              <w:rPr>
                <w:rFonts w:ascii="宋体" w:eastAsia="宋体" w:hAnsi="宋体" w:cs="Times New Roman" w:hint="eastAsia"/>
                <w:color w:val="000000"/>
                <w:sz w:val="18"/>
                <w:szCs w:val="18"/>
              </w:rPr>
              <w:t>D</w:t>
            </w:r>
          </w:p>
        </w:tc>
        <w:tc>
          <w:tcPr>
            <w:tcW w:w="578" w:type="dxa"/>
            <w:tcBorders>
              <w:top w:val="single" w:sz="4" w:space="0" w:color="auto"/>
              <w:left w:val="single" w:sz="4" w:space="0" w:color="auto"/>
              <w:bottom w:val="single" w:sz="4" w:space="0" w:color="auto"/>
              <w:right w:val="single" w:sz="4" w:space="0" w:color="auto"/>
            </w:tcBorders>
            <w:shd w:val="clear" w:color="000000" w:fill="FFFFFF"/>
            <w:vAlign w:val="center"/>
          </w:tcPr>
          <w:p w:rsidR="00721A26" w:rsidRDefault="00721A26" w:rsidP="00D90670">
            <w:pPr>
              <w:spacing w:line="288" w:lineRule="auto"/>
              <w:jc w:val="center"/>
              <w:rPr>
                <w:rFonts w:ascii="宋体" w:eastAsia="宋体" w:hAnsi="宋体" w:cs="Times New Roman"/>
                <w:color w:val="000000"/>
                <w:sz w:val="18"/>
                <w:szCs w:val="18"/>
              </w:rPr>
            </w:pPr>
            <w:r>
              <w:rPr>
                <w:rFonts w:ascii="宋体" w:eastAsia="宋体" w:hAnsi="宋体" w:cs="Times New Roman" w:hint="eastAsia"/>
                <w:color w:val="000000"/>
                <w:sz w:val="18"/>
                <w:szCs w:val="18"/>
              </w:rPr>
              <w:t>18</w:t>
            </w:r>
          </w:p>
        </w:tc>
        <w:tc>
          <w:tcPr>
            <w:tcW w:w="1836" w:type="dxa"/>
            <w:tcBorders>
              <w:top w:val="single" w:sz="4" w:space="0" w:color="auto"/>
              <w:left w:val="single" w:sz="4" w:space="0" w:color="auto"/>
              <w:bottom w:val="single" w:sz="4" w:space="0" w:color="auto"/>
              <w:right w:val="single" w:sz="4" w:space="0" w:color="auto"/>
            </w:tcBorders>
            <w:shd w:val="clear" w:color="000000" w:fill="FFFFFF"/>
            <w:vAlign w:val="center"/>
          </w:tcPr>
          <w:p w:rsidR="00721A26" w:rsidRDefault="00721A26" w:rsidP="00D90670">
            <w:pPr>
              <w:spacing w:line="288" w:lineRule="auto"/>
              <w:jc w:val="center"/>
              <w:rPr>
                <w:rFonts w:ascii="宋体" w:eastAsia="宋体" w:hAnsi="宋体" w:cs="Times New Roman"/>
                <w:color w:val="000000"/>
                <w:sz w:val="18"/>
                <w:szCs w:val="18"/>
              </w:rPr>
            </w:pPr>
            <w:r>
              <w:rPr>
                <w:rFonts w:ascii="宋体" w:eastAsia="宋体" w:hAnsi="宋体" w:cs="Times New Roman" w:hint="eastAsia"/>
                <w:color w:val="000000"/>
                <w:sz w:val="18"/>
                <w:szCs w:val="18"/>
              </w:rPr>
              <w:t>药学院</w:t>
            </w:r>
          </w:p>
        </w:tc>
        <w:tc>
          <w:tcPr>
            <w:tcW w:w="578" w:type="dxa"/>
            <w:tcBorders>
              <w:top w:val="single" w:sz="4" w:space="0" w:color="auto"/>
              <w:left w:val="single" w:sz="4" w:space="0" w:color="auto"/>
              <w:bottom w:val="single" w:sz="4" w:space="0" w:color="auto"/>
              <w:right w:val="single" w:sz="4" w:space="0" w:color="auto"/>
            </w:tcBorders>
            <w:shd w:val="clear" w:color="000000" w:fill="FFFFFF"/>
          </w:tcPr>
          <w:p w:rsidR="00721A26" w:rsidRDefault="00721A26" w:rsidP="00D90670">
            <w:pPr>
              <w:spacing w:line="288" w:lineRule="auto"/>
              <w:jc w:val="center"/>
              <w:rPr>
                <w:rFonts w:ascii="宋体" w:eastAsia="宋体" w:hAnsi="宋体" w:cs="Times New Roman"/>
                <w:color w:val="000000"/>
                <w:sz w:val="18"/>
                <w:szCs w:val="18"/>
              </w:rPr>
            </w:pPr>
            <w:r>
              <w:rPr>
                <w:rFonts w:ascii="宋体" w:eastAsia="宋体" w:hAnsi="宋体" w:cs="Times New Roman"/>
                <w:color w:val="000000"/>
                <w:sz w:val="18"/>
                <w:szCs w:val="18"/>
              </w:rPr>
              <w:t>840</w:t>
            </w:r>
          </w:p>
        </w:tc>
        <w:tc>
          <w:tcPr>
            <w:tcW w:w="578" w:type="dxa"/>
            <w:tcBorders>
              <w:top w:val="single" w:sz="4" w:space="0" w:color="auto"/>
              <w:left w:val="single" w:sz="4" w:space="0" w:color="auto"/>
              <w:bottom w:val="single" w:sz="4" w:space="0" w:color="auto"/>
              <w:right w:val="single" w:sz="4" w:space="0" w:color="auto"/>
            </w:tcBorders>
            <w:shd w:val="clear" w:color="000000" w:fill="FFFFFF"/>
          </w:tcPr>
          <w:p w:rsidR="00721A26" w:rsidRDefault="00721A26" w:rsidP="00D90670">
            <w:pPr>
              <w:spacing w:line="288" w:lineRule="auto"/>
              <w:jc w:val="center"/>
              <w:rPr>
                <w:rFonts w:ascii="宋体" w:eastAsia="宋体" w:hAnsi="宋体" w:cs="Times New Roman"/>
                <w:color w:val="000000"/>
                <w:sz w:val="18"/>
                <w:szCs w:val="18"/>
              </w:rPr>
            </w:pPr>
            <w:r>
              <w:rPr>
                <w:rFonts w:ascii="宋体" w:eastAsia="宋体" w:hAnsi="宋体" w:cs="Times New Roman"/>
                <w:color w:val="000000"/>
                <w:sz w:val="18"/>
                <w:szCs w:val="18"/>
              </w:rPr>
              <w:t>1132</w:t>
            </w:r>
          </w:p>
        </w:tc>
        <w:tc>
          <w:tcPr>
            <w:tcW w:w="578" w:type="dxa"/>
            <w:tcBorders>
              <w:top w:val="single" w:sz="4" w:space="0" w:color="auto"/>
              <w:left w:val="single" w:sz="4" w:space="0" w:color="auto"/>
              <w:bottom w:val="single" w:sz="4" w:space="0" w:color="auto"/>
              <w:right w:val="single" w:sz="4" w:space="0" w:color="auto"/>
            </w:tcBorders>
            <w:shd w:val="clear" w:color="000000" w:fill="FFFFFF"/>
          </w:tcPr>
          <w:p w:rsidR="00721A26" w:rsidRDefault="00721A26" w:rsidP="00D90670">
            <w:pPr>
              <w:spacing w:line="288" w:lineRule="auto"/>
              <w:jc w:val="center"/>
              <w:rPr>
                <w:rFonts w:ascii="宋体" w:eastAsia="宋体" w:hAnsi="宋体" w:cs="Times New Roman"/>
                <w:color w:val="000000"/>
                <w:sz w:val="18"/>
                <w:szCs w:val="18"/>
              </w:rPr>
            </w:pPr>
            <w:r>
              <w:rPr>
                <w:rFonts w:ascii="宋体" w:eastAsia="宋体" w:hAnsi="宋体" w:cs="Times New Roman" w:hint="eastAsia"/>
                <w:color w:val="000000"/>
                <w:sz w:val="18"/>
                <w:szCs w:val="18"/>
              </w:rPr>
              <w:t>A</w:t>
            </w:r>
          </w:p>
        </w:tc>
      </w:tr>
      <w:tr w:rsidR="00721A26" w:rsidTr="00D90670">
        <w:trPr>
          <w:trHeight w:val="270"/>
          <w:jc w:val="center"/>
        </w:trPr>
        <w:tc>
          <w:tcPr>
            <w:tcW w:w="578" w:type="dxa"/>
            <w:shd w:val="clear" w:color="auto" w:fill="auto"/>
            <w:vAlign w:val="center"/>
          </w:tcPr>
          <w:p w:rsidR="00721A26" w:rsidRDefault="00721A26" w:rsidP="00D90670">
            <w:pPr>
              <w:spacing w:line="288" w:lineRule="auto"/>
              <w:jc w:val="center"/>
              <w:rPr>
                <w:rFonts w:ascii="宋体" w:eastAsia="宋体" w:hAnsi="宋体" w:cs="Times New Roman"/>
                <w:color w:val="000000"/>
                <w:sz w:val="18"/>
                <w:szCs w:val="18"/>
              </w:rPr>
            </w:pPr>
            <w:r>
              <w:rPr>
                <w:rFonts w:ascii="宋体" w:eastAsia="宋体" w:hAnsi="宋体" w:cs="Times New Roman" w:hint="eastAsia"/>
                <w:color w:val="000000"/>
                <w:sz w:val="18"/>
                <w:szCs w:val="18"/>
              </w:rPr>
              <w:t>9</w:t>
            </w:r>
          </w:p>
        </w:tc>
        <w:tc>
          <w:tcPr>
            <w:tcW w:w="1836" w:type="dxa"/>
            <w:shd w:val="clear" w:color="auto" w:fill="auto"/>
            <w:vAlign w:val="center"/>
          </w:tcPr>
          <w:p w:rsidR="00721A26" w:rsidRDefault="00721A26" w:rsidP="00D90670">
            <w:pPr>
              <w:spacing w:line="288" w:lineRule="auto"/>
              <w:jc w:val="center"/>
              <w:rPr>
                <w:rFonts w:ascii="宋体" w:eastAsia="宋体" w:hAnsi="宋体" w:cs="Times New Roman"/>
                <w:color w:val="000000"/>
                <w:sz w:val="18"/>
                <w:szCs w:val="18"/>
              </w:rPr>
            </w:pPr>
            <w:r>
              <w:rPr>
                <w:rFonts w:ascii="宋体" w:eastAsia="宋体" w:hAnsi="宋体" w:cs="Times New Roman" w:hint="eastAsia"/>
                <w:color w:val="000000"/>
                <w:sz w:val="18"/>
                <w:szCs w:val="18"/>
              </w:rPr>
              <w:t>教育学院</w:t>
            </w:r>
          </w:p>
        </w:tc>
        <w:tc>
          <w:tcPr>
            <w:tcW w:w="578" w:type="dxa"/>
            <w:tcBorders>
              <w:top w:val="single" w:sz="4" w:space="0" w:color="auto"/>
              <w:left w:val="nil"/>
              <w:bottom w:val="single" w:sz="4" w:space="0" w:color="auto"/>
              <w:right w:val="single" w:sz="4" w:space="0" w:color="auto"/>
            </w:tcBorders>
            <w:shd w:val="clear" w:color="000000" w:fill="FFFFFF"/>
          </w:tcPr>
          <w:p w:rsidR="00721A26" w:rsidRDefault="00721A26" w:rsidP="00D90670">
            <w:pPr>
              <w:spacing w:line="288" w:lineRule="auto"/>
              <w:jc w:val="center"/>
              <w:rPr>
                <w:rFonts w:ascii="宋体" w:eastAsia="宋体" w:hAnsi="宋体" w:cs="Times New Roman"/>
                <w:color w:val="000000"/>
                <w:sz w:val="18"/>
                <w:szCs w:val="18"/>
              </w:rPr>
            </w:pPr>
            <w:r>
              <w:rPr>
                <w:rFonts w:ascii="宋体" w:eastAsia="宋体" w:hAnsi="宋体" w:cs="Times New Roman"/>
                <w:color w:val="000000"/>
                <w:sz w:val="18"/>
                <w:szCs w:val="18"/>
              </w:rPr>
              <w:t>202</w:t>
            </w:r>
          </w:p>
        </w:tc>
        <w:tc>
          <w:tcPr>
            <w:tcW w:w="578" w:type="dxa"/>
            <w:tcBorders>
              <w:top w:val="single" w:sz="4" w:space="0" w:color="auto"/>
              <w:left w:val="single" w:sz="4" w:space="0" w:color="auto"/>
              <w:bottom w:val="single" w:sz="4" w:space="0" w:color="auto"/>
              <w:right w:val="single" w:sz="4" w:space="0" w:color="auto"/>
            </w:tcBorders>
            <w:shd w:val="clear" w:color="000000" w:fill="FFFFFF"/>
          </w:tcPr>
          <w:p w:rsidR="00721A26" w:rsidRDefault="00721A26" w:rsidP="00D90670">
            <w:pPr>
              <w:spacing w:line="288" w:lineRule="auto"/>
              <w:jc w:val="center"/>
              <w:rPr>
                <w:rFonts w:ascii="宋体" w:eastAsia="宋体" w:hAnsi="宋体" w:cs="Times New Roman"/>
                <w:color w:val="000000"/>
                <w:sz w:val="18"/>
                <w:szCs w:val="18"/>
              </w:rPr>
            </w:pPr>
            <w:r>
              <w:rPr>
                <w:rFonts w:ascii="宋体" w:eastAsia="宋体" w:hAnsi="宋体" w:cs="Times New Roman"/>
                <w:color w:val="000000"/>
                <w:sz w:val="18"/>
                <w:szCs w:val="18"/>
              </w:rPr>
              <w:t>386</w:t>
            </w:r>
          </w:p>
        </w:tc>
        <w:tc>
          <w:tcPr>
            <w:tcW w:w="578" w:type="dxa"/>
            <w:tcBorders>
              <w:top w:val="single" w:sz="4" w:space="0" w:color="auto"/>
              <w:left w:val="single" w:sz="4" w:space="0" w:color="auto"/>
              <w:bottom w:val="single" w:sz="4" w:space="0" w:color="auto"/>
              <w:right w:val="single" w:sz="4" w:space="0" w:color="auto"/>
            </w:tcBorders>
            <w:shd w:val="clear" w:color="000000" w:fill="FFFFFF"/>
          </w:tcPr>
          <w:p w:rsidR="00721A26" w:rsidRDefault="00721A26" w:rsidP="00D90670">
            <w:pPr>
              <w:spacing w:line="288" w:lineRule="auto"/>
              <w:jc w:val="center"/>
              <w:rPr>
                <w:rFonts w:ascii="宋体" w:eastAsia="宋体" w:hAnsi="宋体" w:cs="Times New Roman"/>
                <w:color w:val="000000"/>
                <w:sz w:val="18"/>
                <w:szCs w:val="18"/>
              </w:rPr>
            </w:pPr>
            <w:r>
              <w:rPr>
                <w:rFonts w:ascii="宋体" w:eastAsia="宋体" w:hAnsi="宋体" w:cs="Times New Roman" w:hint="eastAsia"/>
                <w:color w:val="000000"/>
                <w:sz w:val="18"/>
                <w:szCs w:val="18"/>
              </w:rPr>
              <w:t>F</w:t>
            </w:r>
          </w:p>
        </w:tc>
        <w:tc>
          <w:tcPr>
            <w:tcW w:w="578" w:type="dxa"/>
            <w:tcBorders>
              <w:top w:val="single" w:sz="4" w:space="0" w:color="auto"/>
              <w:left w:val="single" w:sz="4" w:space="0" w:color="auto"/>
              <w:bottom w:val="single" w:sz="4" w:space="0" w:color="auto"/>
              <w:right w:val="single" w:sz="4" w:space="0" w:color="auto"/>
            </w:tcBorders>
            <w:shd w:val="clear" w:color="000000" w:fill="FFFFFF"/>
            <w:vAlign w:val="center"/>
          </w:tcPr>
          <w:p w:rsidR="00721A26" w:rsidRDefault="00721A26" w:rsidP="00D90670">
            <w:pPr>
              <w:spacing w:line="288" w:lineRule="auto"/>
              <w:jc w:val="center"/>
              <w:rPr>
                <w:rFonts w:ascii="宋体" w:eastAsia="宋体" w:hAnsi="宋体" w:cs="Times New Roman"/>
                <w:color w:val="000000"/>
                <w:sz w:val="18"/>
                <w:szCs w:val="18"/>
              </w:rPr>
            </w:pPr>
            <w:r>
              <w:rPr>
                <w:rFonts w:ascii="宋体" w:eastAsia="宋体" w:hAnsi="宋体" w:cs="Times New Roman" w:hint="eastAsia"/>
                <w:color w:val="000000"/>
                <w:sz w:val="18"/>
                <w:szCs w:val="18"/>
              </w:rPr>
              <w:t>19</w:t>
            </w:r>
          </w:p>
        </w:tc>
        <w:tc>
          <w:tcPr>
            <w:tcW w:w="1836" w:type="dxa"/>
            <w:tcBorders>
              <w:top w:val="single" w:sz="4" w:space="0" w:color="auto"/>
              <w:left w:val="single" w:sz="4" w:space="0" w:color="auto"/>
              <w:bottom w:val="single" w:sz="4" w:space="0" w:color="auto"/>
              <w:right w:val="single" w:sz="4" w:space="0" w:color="auto"/>
            </w:tcBorders>
            <w:shd w:val="clear" w:color="000000" w:fill="FFFFFF"/>
            <w:vAlign w:val="center"/>
          </w:tcPr>
          <w:p w:rsidR="00721A26" w:rsidRDefault="00721A26" w:rsidP="00D90670">
            <w:pPr>
              <w:spacing w:line="288" w:lineRule="auto"/>
              <w:jc w:val="center"/>
              <w:rPr>
                <w:rFonts w:ascii="宋体" w:eastAsia="宋体" w:hAnsi="宋体" w:cs="Times New Roman"/>
                <w:color w:val="000000"/>
                <w:sz w:val="18"/>
                <w:szCs w:val="18"/>
              </w:rPr>
            </w:pPr>
            <w:r>
              <w:rPr>
                <w:rFonts w:ascii="宋体" w:eastAsia="宋体" w:hAnsi="宋体" w:cs="Times New Roman" w:hint="eastAsia"/>
                <w:color w:val="000000"/>
                <w:sz w:val="18"/>
                <w:szCs w:val="18"/>
              </w:rPr>
              <w:t>体育学院</w:t>
            </w:r>
          </w:p>
        </w:tc>
        <w:tc>
          <w:tcPr>
            <w:tcW w:w="578" w:type="dxa"/>
            <w:tcBorders>
              <w:top w:val="single" w:sz="4" w:space="0" w:color="auto"/>
              <w:left w:val="single" w:sz="4" w:space="0" w:color="auto"/>
              <w:bottom w:val="single" w:sz="4" w:space="0" w:color="auto"/>
              <w:right w:val="single" w:sz="4" w:space="0" w:color="auto"/>
            </w:tcBorders>
            <w:shd w:val="clear" w:color="000000" w:fill="FFFFFF"/>
          </w:tcPr>
          <w:p w:rsidR="00721A26" w:rsidRDefault="00721A26" w:rsidP="00D90670">
            <w:pPr>
              <w:spacing w:line="288" w:lineRule="auto"/>
              <w:jc w:val="center"/>
              <w:rPr>
                <w:rFonts w:ascii="宋体" w:eastAsia="宋体" w:hAnsi="宋体" w:cs="Times New Roman"/>
                <w:color w:val="000000"/>
                <w:sz w:val="18"/>
                <w:szCs w:val="18"/>
              </w:rPr>
            </w:pPr>
            <w:r>
              <w:rPr>
                <w:rFonts w:ascii="宋体" w:eastAsia="宋体" w:hAnsi="宋体" w:cs="Times New Roman"/>
                <w:color w:val="000000"/>
                <w:sz w:val="18"/>
                <w:szCs w:val="18"/>
              </w:rPr>
              <w:t>67</w:t>
            </w:r>
          </w:p>
        </w:tc>
        <w:tc>
          <w:tcPr>
            <w:tcW w:w="578" w:type="dxa"/>
            <w:tcBorders>
              <w:top w:val="single" w:sz="4" w:space="0" w:color="auto"/>
              <w:left w:val="single" w:sz="4" w:space="0" w:color="auto"/>
              <w:bottom w:val="single" w:sz="4" w:space="0" w:color="auto"/>
              <w:right w:val="single" w:sz="4" w:space="0" w:color="auto"/>
            </w:tcBorders>
            <w:shd w:val="clear" w:color="000000" w:fill="FFFFFF"/>
          </w:tcPr>
          <w:p w:rsidR="00721A26" w:rsidRDefault="00721A26" w:rsidP="00D90670">
            <w:pPr>
              <w:spacing w:line="288" w:lineRule="auto"/>
              <w:jc w:val="center"/>
              <w:rPr>
                <w:rFonts w:ascii="宋体" w:eastAsia="宋体" w:hAnsi="宋体" w:cs="Times New Roman"/>
                <w:color w:val="000000"/>
                <w:sz w:val="18"/>
                <w:szCs w:val="18"/>
              </w:rPr>
            </w:pPr>
            <w:r>
              <w:rPr>
                <w:rFonts w:ascii="宋体" w:eastAsia="宋体" w:hAnsi="宋体" w:cs="Times New Roman"/>
                <w:color w:val="000000"/>
                <w:sz w:val="18"/>
                <w:szCs w:val="18"/>
              </w:rPr>
              <w:t>495</w:t>
            </w:r>
          </w:p>
        </w:tc>
        <w:tc>
          <w:tcPr>
            <w:tcW w:w="578" w:type="dxa"/>
            <w:tcBorders>
              <w:top w:val="single" w:sz="4" w:space="0" w:color="auto"/>
              <w:left w:val="single" w:sz="4" w:space="0" w:color="auto"/>
              <w:bottom w:val="single" w:sz="4" w:space="0" w:color="auto"/>
              <w:right w:val="single" w:sz="4" w:space="0" w:color="auto"/>
            </w:tcBorders>
            <w:shd w:val="clear" w:color="000000" w:fill="FFFFFF"/>
          </w:tcPr>
          <w:p w:rsidR="00721A26" w:rsidRDefault="00721A26" w:rsidP="00D90670">
            <w:pPr>
              <w:spacing w:line="288" w:lineRule="auto"/>
              <w:jc w:val="center"/>
              <w:rPr>
                <w:rFonts w:ascii="宋体" w:eastAsia="宋体" w:hAnsi="宋体" w:cs="Times New Roman"/>
                <w:color w:val="000000"/>
                <w:sz w:val="18"/>
                <w:szCs w:val="18"/>
              </w:rPr>
            </w:pPr>
            <w:r>
              <w:rPr>
                <w:rFonts w:ascii="宋体" w:eastAsia="宋体" w:hAnsi="宋体" w:cs="Times New Roman" w:hint="eastAsia"/>
                <w:color w:val="000000"/>
                <w:sz w:val="18"/>
                <w:szCs w:val="18"/>
              </w:rPr>
              <w:t>D</w:t>
            </w:r>
          </w:p>
        </w:tc>
      </w:tr>
      <w:tr w:rsidR="00721A26" w:rsidTr="00D90670">
        <w:trPr>
          <w:trHeight w:val="143"/>
          <w:jc w:val="center"/>
        </w:trPr>
        <w:tc>
          <w:tcPr>
            <w:tcW w:w="578" w:type="dxa"/>
            <w:shd w:val="clear" w:color="auto" w:fill="auto"/>
            <w:vAlign w:val="center"/>
          </w:tcPr>
          <w:p w:rsidR="00721A26" w:rsidRDefault="00721A26" w:rsidP="00D90670">
            <w:pPr>
              <w:spacing w:line="288" w:lineRule="auto"/>
              <w:jc w:val="center"/>
              <w:rPr>
                <w:rFonts w:ascii="宋体" w:eastAsia="宋体" w:hAnsi="宋体" w:cs="Times New Roman"/>
                <w:color w:val="000000"/>
                <w:sz w:val="18"/>
                <w:szCs w:val="18"/>
              </w:rPr>
            </w:pPr>
            <w:r>
              <w:rPr>
                <w:rFonts w:ascii="宋体" w:eastAsia="宋体" w:hAnsi="宋体" w:cs="Times New Roman" w:hint="eastAsia"/>
                <w:color w:val="000000"/>
                <w:sz w:val="18"/>
                <w:szCs w:val="18"/>
              </w:rPr>
              <w:t>10</w:t>
            </w:r>
          </w:p>
        </w:tc>
        <w:tc>
          <w:tcPr>
            <w:tcW w:w="1836" w:type="dxa"/>
            <w:shd w:val="clear" w:color="auto" w:fill="auto"/>
            <w:vAlign w:val="center"/>
          </w:tcPr>
          <w:p w:rsidR="00721A26" w:rsidRDefault="00721A26" w:rsidP="00D90670">
            <w:pPr>
              <w:spacing w:line="288" w:lineRule="auto"/>
              <w:jc w:val="center"/>
              <w:rPr>
                <w:rFonts w:ascii="宋体" w:eastAsia="宋体" w:hAnsi="宋体" w:cs="Times New Roman"/>
                <w:color w:val="000000"/>
                <w:sz w:val="18"/>
                <w:szCs w:val="18"/>
              </w:rPr>
            </w:pPr>
            <w:r>
              <w:rPr>
                <w:rFonts w:ascii="宋体" w:eastAsia="宋体" w:hAnsi="宋体" w:cs="Times New Roman" w:hint="eastAsia"/>
                <w:color w:val="000000"/>
                <w:sz w:val="18"/>
                <w:szCs w:val="18"/>
              </w:rPr>
              <w:t>马克思主义学院</w:t>
            </w:r>
          </w:p>
        </w:tc>
        <w:tc>
          <w:tcPr>
            <w:tcW w:w="578" w:type="dxa"/>
            <w:tcBorders>
              <w:top w:val="single" w:sz="4" w:space="0" w:color="auto"/>
              <w:left w:val="nil"/>
              <w:bottom w:val="single" w:sz="4" w:space="0" w:color="auto"/>
              <w:right w:val="single" w:sz="4" w:space="0" w:color="auto"/>
            </w:tcBorders>
            <w:shd w:val="clear" w:color="000000" w:fill="FFFFFF"/>
          </w:tcPr>
          <w:p w:rsidR="00721A26" w:rsidRDefault="00721A26" w:rsidP="00D90670">
            <w:pPr>
              <w:spacing w:line="288" w:lineRule="auto"/>
              <w:jc w:val="center"/>
              <w:rPr>
                <w:rFonts w:ascii="宋体" w:eastAsia="宋体" w:hAnsi="宋体" w:cs="Times New Roman"/>
                <w:color w:val="000000"/>
                <w:sz w:val="18"/>
                <w:szCs w:val="18"/>
              </w:rPr>
            </w:pPr>
            <w:r>
              <w:rPr>
                <w:rFonts w:ascii="宋体" w:eastAsia="宋体" w:hAnsi="宋体" w:cs="Times New Roman"/>
                <w:color w:val="000000"/>
                <w:sz w:val="18"/>
                <w:szCs w:val="18"/>
              </w:rPr>
              <w:t>44</w:t>
            </w:r>
          </w:p>
        </w:tc>
        <w:tc>
          <w:tcPr>
            <w:tcW w:w="578" w:type="dxa"/>
            <w:tcBorders>
              <w:top w:val="single" w:sz="4" w:space="0" w:color="auto"/>
              <w:left w:val="single" w:sz="4" w:space="0" w:color="auto"/>
              <w:bottom w:val="single" w:sz="4" w:space="0" w:color="auto"/>
              <w:right w:val="single" w:sz="4" w:space="0" w:color="auto"/>
            </w:tcBorders>
            <w:shd w:val="clear" w:color="000000" w:fill="FFFFFF"/>
          </w:tcPr>
          <w:p w:rsidR="00721A26" w:rsidRDefault="00721A26" w:rsidP="00D90670">
            <w:pPr>
              <w:spacing w:line="288" w:lineRule="auto"/>
              <w:jc w:val="center"/>
              <w:rPr>
                <w:rFonts w:ascii="宋体" w:eastAsia="宋体" w:hAnsi="宋体" w:cs="Times New Roman"/>
                <w:color w:val="000000"/>
                <w:sz w:val="18"/>
                <w:szCs w:val="18"/>
              </w:rPr>
            </w:pPr>
            <w:r>
              <w:rPr>
                <w:rFonts w:ascii="宋体" w:eastAsia="宋体" w:hAnsi="宋体" w:cs="Times New Roman"/>
                <w:color w:val="000000"/>
                <w:sz w:val="18"/>
                <w:szCs w:val="18"/>
              </w:rPr>
              <w:t>90</w:t>
            </w:r>
          </w:p>
        </w:tc>
        <w:tc>
          <w:tcPr>
            <w:tcW w:w="578" w:type="dxa"/>
            <w:tcBorders>
              <w:top w:val="single" w:sz="4" w:space="0" w:color="auto"/>
              <w:left w:val="single" w:sz="4" w:space="0" w:color="auto"/>
              <w:bottom w:val="single" w:sz="4" w:space="0" w:color="auto"/>
              <w:right w:val="single" w:sz="4" w:space="0" w:color="auto"/>
            </w:tcBorders>
            <w:shd w:val="clear" w:color="000000" w:fill="FFFFFF"/>
          </w:tcPr>
          <w:p w:rsidR="00721A26" w:rsidRDefault="00721A26" w:rsidP="00D90670">
            <w:pPr>
              <w:spacing w:line="288" w:lineRule="auto"/>
              <w:jc w:val="center"/>
              <w:rPr>
                <w:rFonts w:ascii="宋体" w:eastAsia="宋体" w:hAnsi="宋体" w:cs="Times New Roman"/>
                <w:color w:val="000000"/>
                <w:sz w:val="18"/>
                <w:szCs w:val="18"/>
              </w:rPr>
            </w:pPr>
            <w:r>
              <w:rPr>
                <w:rFonts w:ascii="宋体" w:eastAsia="宋体" w:hAnsi="宋体" w:cs="Times New Roman" w:hint="eastAsia"/>
                <w:color w:val="000000"/>
                <w:sz w:val="18"/>
                <w:szCs w:val="18"/>
              </w:rPr>
              <w:t>D</w:t>
            </w:r>
          </w:p>
        </w:tc>
        <w:tc>
          <w:tcPr>
            <w:tcW w:w="578" w:type="dxa"/>
            <w:tcBorders>
              <w:top w:val="single" w:sz="4" w:space="0" w:color="auto"/>
              <w:left w:val="single" w:sz="4" w:space="0" w:color="auto"/>
              <w:bottom w:val="single" w:sz="4" w:space="0" w:color="auto"/>
              <w:right w:val="single" w:sz="4" w:space="0" w:color="auto"/>
            </w:tcBorders>
            <w:shd w:val="clear" w:color="000000" w:fill="FFFFFF"/>
            <w:vAlign w:val="center"/>
          </w:tcPr>
          <w:p w:rsidR="00721A26" w:rsidRDefault="00721A26" w:rsidP="00D90670">
            <w:pPr>
              <w:spacing w:line="288" w:lineRule="auto"/>
              <w:jc w:val="center"/>
              <w:rPr>
                <w:rFonts w:ascii="宋体" w:eastAsia="宋体" w:hAnsi="宋体" w:cs="Times New Roman"/>
                <w:color w:val="000000"/>
                <w:sz w:val="18"/>
                <w:szCs w:val="18"/>
              </w:rPr>
            </w:pPr>
            <w:r>
              <w:rPr>
                <w:rFonts w:ascii="宋体" w:eastAsia="宋体" w:hAnsi="宋体" w:cs="Times New Roman" w:hint="eastAsia"/>
                <w:color w:val="000000"/>
                <w:sz w:val="18"/>
                <w:szCs w:val="18"/>
              </w:rPr>
              <w:t>20</w:t>
            </w:r>
          </w:p>
        </w:tc>
        <w:tc>
          <w:tcPr>
            <w:tcW w:w="1836" w:type="dxa"/>
            <w:tcBorders>
              <w:top w:val="single" w:sz="4" w:space="0" w:color="auto"/>
              <w:left w:val="single" w:sz="4" w:space="0" w:color="auto"/>
              <w:bottom w:val="single" w:sz="4" w:space="0" w:color="auto"/>
              <w:right w:val="single" w:sz="4" w:space="0" w:color="auto"/>
            </w:tcBorders>
            <w:shd w:val="clear" w:color="000000" w:fill="FFFFFF"/>
            <w:vAlign w:val="center"/>
          </w:tcPr>
          <w:p w:rsidR="00721A26" w:rsidRDefault="00721A26" w:rsidP="00D90670">
            <w:pPr>
              <w:spacing w:line="288" w:lineRule="auto"/>
              <w:jc w:val="center"/>
              <w:rPr>
                <w:rFonts w:ascii="宋体" w:eastAsia="宋体" w:hAnsi="宋体" w:cs="Times New Roman"/>
                <w:color w:val="000000"/>
                <w:sz w:val="18"/>
                <w:szCs w:val="18"/>
              </w:rPr>
            </w:pPr>
            <w:r>
              <w:rPr>
                <w:rFonts w:ascii="宋体" w:eastAsia="宋体" w:hAnsi="宋体" w:cs="Times New Roman" w:hint="eastAsia"/>
                <w:color w:val="000000"/>
                <w:sz w:val="18"/>
                <w:szCs w:val="18"/>
              </w:rPr>
              <w:t>音乐舞蹈学院</w:t>
            </w:r>
          </w:p>
        </w:tc>
        <w:tc>
          <w:tcPr>
            <w:tcW w:w="578" w:type="dxa"/>
            <w:tcBorders>
              <w:top w:val="single" w:sz="4" w:space="0" w:color="auto"/>
              <w:left w:val="single" w:sz="4" w:space="0" w:color="auto"/>
              <w:bottom w:val="single" w:sz="4" w:space="0" w:color="auto"/>
              <w:right w:val="single" w:sz="4" w:space="0" w:color="auto"/>
            </w:tcBorders>
            <w:shd w:val="clear" w:color="000000" w:fill="FFFFFF"/>
          </w:tcPr>
          <w:p w:rsidR="00721A26" w:rsidRDefault="00721A26" w:rsidP="00D90670">
            <w:pPr>
              <w:spacing w:line="288" w:lineRule="auto"/>
              <w:jc w:val="center"/>
              <w:rPr>
                <w:rFonts w:ascii="宋体" w:eastAsia="宋体" w:hAnsi="宋体" w:cs="Times New Roman"/>
                <w:color w:val="000000"/>
                <w:sz w:val="18"/>
                <w:szCs w:val="18"/>
              </w:rPr>
            </w:pPr>
            <w:r>
              <w:rPr>
                <w:rFonts w:ascii="宋体" w:eastAsia="宋体" w:hAnsi="宋体" w:cs="Times New Roman"/>
                <w:color w:val="000000"/>
                <w:sz w:val="18"/>
                <w:szCs w:val="18"/>
              </w:rPr>
              <w:t>83</w:t>
            </w:r>
          </w:p>
        </w:tc>
        <w:tc>
          <w:tcPr>
            <w:tcW w:w="578" w:type="dxa"/>
            <w:tcBorders>
              <w:top w:val="single" w:sz="4" w:space="0" w:color="auto"/>
              <w:left w:val="single" w:sz="4" w:space="0" w:color="auto"/>
              <w:bottom w:val="single" w:sz="4" w:space="0" w:color="auto"/>
              <w:right w:val="single" w:sz="4" w:space="0" w:color="auto"/>
            </w:tcBorders>
            <w:shd w:val="clear" w:color="000000" w:fill="FFFFFF"/>
          </w:tcPr>
          <w:p w:rsidR="00721A26" w:rsidRDefault="00721A26" w:rsidP="00D90670">
            <w:pPr>
              <w:spacing w:line="288" w:lineRule="auto"/>
              <w:jc w:val="center"/>
              <w:rPr>
                <w:rFonts w:ascii="宋体" w:eastAsia="宋体" w:hAnsi="宋体" w:cs="Times New Roman"/>
                <w:color w:val="000000"/>
                <w:sz w:val="18"/>
                <w:szCs w:val="18"/>
              </w:rPr>
            </w:pPr>
            <w:r>
              <w:rPr>
                <w:rFonts w:ascii="宋体" w:eastAsia="宋体" w:hAnsi="宋体" w:cs="Times New Roman"/>
                <w:color w:val="000000"/>
                <w:sz w:val="18"/>
                <w:szCs w:val="18"/>
              </w:rPr>
              <w:t>419</w:t>
            </w:r>
          </w:p>
        </w:tc>
        <w:tc>
          <w:tcPr>
            <w:tcW w:w="578" w:type="dxa"/>
            <w:tcBorders>
              <w:top w:val="single" w:sz="4" w:space="0" w:color="auto"/>
              <w:left w:val="single" w:sz="4" w:space="0" w:color="auto"/>
              <w:bottom w:val="single" w:sz="4" w:space="0" w:color="auto"/>
              <w:right w:val="single" w:sz="4" w:space="0" w:color="auto"/>
            </w:tcBorders>
            <w:shd w:val="clear" w:color="000000" w:fill="FFFFFF"/>
          </w:tcPr>
          <w:p w:rsidR="00721A26" w:rsidRDefault="00721A26" w:rsidP="00D90670">
            <w:pPr>
              <w:spacing w:line="288" w:lineRule="auto"/>
              <w:jc w:val="center"/>
              <w:rPr>
                <w:rFonts w:ascii="宋体" w:eastAsia="宋体" w:hAnsi="宋体" w:cs="Times New Roman"/>
                <w:color w:val="000000"/>
                <w:sz w:val="18"/>
                <w:szCs w:val="18"/>
              </w:rPr>
            </w:pPr>
            <w:r>
              <w:rPr>
                <w:rFonts w:ascii="宋体" w:eastAsia="宋体" w:hAnsi="宋体" w:cs="Times New Roman" w:hint="eastAsia"/>
                <w:color w:val="000000"/>
                <w:sz w:val="18"/>
                <w:szCs w:val="18"/>
              </w:rPr>
              <w:t>C</w:t>
            </w:r>
          </w:p>
        </w:tc>
      </w:tr>
    </w:tbl>
    <w:p w:rsidR="00721A26" w:rsidRDefault="00721A26" w:rsidP="00721A26">
      <w:pPr>
        <w:spacing w:line="288" w:lineRule="auto"/>
        <w:ind w:firstLineChars="200" w:firstLine="420"/>
        <w:rPr>
          <w:rFonts w:ascii="宋体" w:eastAsia="宋体" w:hAnsi="宋体" w:cs="Times New Roman"/>
          <w:color w:val="000000"/>
          <w:szCs w:val="21"/>
        </w:rPr>
      </w:pPr>
      <w:bookmarkStart w:id="29" w:name="_Toc469670940"/>
      <w:bookmarkStart w:id="30" w:name="_Toc512593819"/>
      <w:r>
        <w:rPr>
          <w:rFonts w:ascii="宋体" w:eastAsia="宋体" w:hAnsi="宋体" w:cs="Times New Roman" w:hint="eastAsia"/>
          <w:color w:val="000000"/>
          <w:szCs w:val="21"/>
        </w:rPr>
        <w:t>（</w:t>
      </w:r>
      <w:r>
        <w:rPr>
          <w:rFonts w:ascii="宋体" w:eastAsia="宋体" w:hAnsi="宋体" w:cs="Times New Roman"/>
          <w:color w:val="000000"/>
          <w:szCs w:val="21"/>
        </w:rPr>
        <w:t>1）A类学院特征，学院预警学生和全院不及格课程的人均门次都低于或接近全校水平，预警/全校不及格比重较大，即预警学生不及格数量占据该学院不及格课程的主导地位。</w:t>
      </w:r>
    </w:p>
    <w:p w:rsidR="00721A26" w:rsidRDefault="00721A26" w:rsidP="00721A26">
      <w:pPr>
        <w:spacing w:line="288" w:lineRule="auto"/>
        <w:ind w:firstLineChars="200" w:firstLine="420"/>
        <w:rPr>
          <w:rFonts w:ascii="宋体" w:eastAsia="宋体" w:hAnsi="宋体" w:cs="Times New Roman"/>
          <w:color w:val="000000"/>
          <w:szCs w:val="21"/>
        </w:rPr>
      </w:pPr>
      <w:r>
        <w:rPr>
          <w:rFonts w:ascii="宋体" w:eastAsia="宋体" w:hAnsi="宋体" w:cs="Times New Roman" w:hint="eastAsia"/>
          <w:color w:val="000000"/>
          <w:szCs w:val="21"/>
        </w:rPr>
        <w:lastRenderedPageBreak/>
        <w:t>（</w:t>
      </w:r>
      <w:r>
        <w:rPr>
          <w:rFonts w:ascii="宋体" w:eastAsia="宋体" w:hAnsi="宋体" w:cs="Times New Roman"/>
          <w:color w:val="000000"/>
          <w:szCs w:val="21"/>
        </w:rPr>
        <w:t>2）B类学院特征，学院预警学生人均和预警/全校不及格比重都低于接近全校水平，同时全院不及格课程的人均门次高于全校水平。</w:t>
      </w:r>
    </w:p>
    <w:p w:rsidR="00721A26" w:rsidRDefault="00721A26" w:rsidP="00721A26">
      <w:pPr>
        <w:spacing w:line="288" w:lineRule="auto"/>
        <w:ind w:firstLineChars="200" w:firstLine="420"/>
        <w:rPr>
          <w:rFonts w:ascii="宋体" w:eastAsia="宋体" w:hAnsi="宋体" w:cs="Times New Roman"/>
          <w:color w:val="000000"/>
          <w:szCs w:val="21"/>
        </w:rPr>
      </w:pPr>
      <w:r>
        <w:rPr>
          <w:rFonts w:ascii="宋体" w:eastAsia="宋体" w:hAnsi="宋体" w:cs="Times New Roman" w:hint="eastAsia"/>
          <w:color w:val="000000"/>
          <w:szCs w:val="21"/>
        </w:rPr>
        <w:t>（</w:t>
      </w:r>
      <w:r>
        <w:rPr>
          <w:rFonts w:ascii="宋体" w:eastAsia="宋体" w:hAnsi="宋体" w:cs="Times New Roman"/>
          <w:color w:val="000000"/>
          <w:szCs w:val="21"/>
        </w:rPr>
        <w:t>3）C类学院特征，学院预警学生人均门次高于全校水平，同时该院不及格人均门次和预警/全院不及格课程的比重低于全校平均水平。</w:t>
      </w:r>
    </w:p>
    <w:p w:rsidR="00721A26" w:rsidRDefault="00721A26" w:rsidP="00721A26">
      <w:pPr>
        <w:spacing w:line="288" w:lineRule="auto"/>
        <w:ind w:firstLineChars="200" w:firstLine="420"/>
        <w:rPr>
          <w:rFonts w:ascii="宋体" w:eastAsia="宋体" w:hAnsi="宋体" w:cs="Times New Roman"/>
          <w:color w:val="000000"/>
          <w:szCs w:val="21"/>
        </w:rPr>
      </w:pPr>
      <w:r>
        <w:rPr>
          <w:rFonts w:ascii="宋体" w:eastAsia="宋体" w:hAnsi="宋体" w:cs="Times New Roman" w:hint="eastAsia"/>
          <w:color w:val="000000"/>
          <w:szCs w:val="21"/>
        </w:rPr>
        <w:t>（</w:t>
      </w:r>
      <w:r>
        <w:rPr>
          <w:rFonts w:ascii="宋体" w:eastAsia="宋体" w:hAnsi="宋体" w:cs="Times New Roman"/>
          <w:color w:val="000000"/>
          <w:szCs w:val="21"/>
        </w:rPr>
        <w:t>4）D类学院特征，学院学生（或预警学生）不及格课程人均门次，以及预警/全院不及格课程的比重低于或接近全校平均水平。</w:t>
      </w:r>
    </w:p>
    <w:p w:rsidR="00721A26" w:rsidRDefault="00721A26" w:rsidP="00721A26">
      <w:pPr>
        <w:spacing w:line="288" w:lineRule="auto"/>
        <w:ind w:firstLineChars="200" w:firstLine="420"/>
        <w:rPr>
          <w:rFonts w:ascii="宋体" w:eastAsia="宋体" w:hAnsi="宋体" w:cs="Times New Roman"/>
          <w:color w:val="000000"/>
          <w:szCs w:val="21"/>
        </w:rPr>
      </w:pPr>
      <w:r>
        <w:rPr>
          <w:rFonts w:ascii="宋体" w:eastAsia="宋体" w:hAnsi="宋体" w:cs="Times New Roman" w:hint="eastAsia"/>
          <w:color w:val="000000"/>
          <w:szCs w:val="21"/>
        </w:rPr>
        <w:t>（</w:t>
      </w:r>
      <w:r>
        <w:rPr>
          <w:rFonts w:ascii="宋体" w:eastAsia="宋体" w:hAnsi="宋体" w:cs="Times New Roman"/>
          <w:color w:val="000000"/>
          <w:szCs w:val="21"/>
        </w:rPr>
        <w:t>5）E类学院特征，学院预警学生和全院不及格课程的人均门次都高于全校水平，但预警/全校不及格比重较低。</w:t>
      </w:r>
    </w:p>
    <w:p w:rsidR="00721A26" w:rsidRDefault="00721A26" w:rsidP="00721A26">
      <w:pPr>
        <w:spacing w:line="288" w:lineRule="auto"/>
        <w:ind w:firstLineChars="200" w:firstLine="420"/>
        <w:rPr>
          <w:rFonts w:ascii="宋体" w:eastAsia="宋体" w:hAnsi="宋体" w:cs="Times New Roman"/>
          <w:color w:val="000000"/>
          <w:szCs w:val="21"/>
        </w:rPr>
      </w:pPr>
      <w:r>
        <w:rPr>
          <w:rFonts w:ascii="宋体" w:eastAsia="宋体" w:hAnsi="宋体" w:cs="Times New Roman" w:hint="eastAsia"/>
          <w:color w:val="000000"/>
          <w:szCs w:val="21"/>
        </w:rPr>
        <w:t>（</w:t>
      </w:r>
      <w:r>
        <w:rPr>
          <w:rFonts w:ascii="宋体" w:eastAsia="宋体" w:hAnsi="宋体" w:cs="Times New Roman"/>
          <w:color w:val="000000"/>
          <w:szCs w:val="21"/>
        </w:rPr>
        <w:t>6）F类学院特征，学院预警学生和全院不及格课程的人均门次高于或接近于全校水平，同时预警/全校不及格比重较大。</w:t>
      </w:r>
    </w:p>
    <w:p w:rsidR="00721A26" w:rsidRDefault="00721A26" w:rsidP="00721A26">
      <w:pPr>
        <w:spacing w:line="288" w:lineRule="auto"/>
        <w:ind w:firstLineChars="200" w:firstLine="422"/>
        <w:rPr>
          <w:rFonts w:ascii="宋体" w:eastAsia="宋体" w:hAnsi="宋体" w:cs="Times New Roman"/>
          <w:b/>
          <w:color w:val="000000"/>
          <w:szCs w:val="21"/>
        </w:rPr>
      </w:pPr>
      <w:r>
        <w:rPr>
          <w:rFonts w:ascii="宋体" w:eastAsia="宋体" w:hAnsi="宋体" w:cs="Times New Roman" w:hint="eastAsia"/>
          <w:b/>
          <w:color w:val="000000"/>
          <w:szCs w:val="21"/>
        </w:rPr>
        <w:t>8</w:t>
      </w:r>
      <w:r>
        <w:rPr>
          <w:rFonts w:ascii="宋体" w:eastAsia="宋体" w:hAnsi="宋体" w:cs="Times New Roman"/>
          <w:b/>
          <w:color w:val="000000"/>
          <w:szCs w:val="21"/>
        </w:rPr>
        <w:t>.</w:t>
      </w:r>
      <w:r>
        <w:rPr>
          <w:rFonts w:ascii="宋体" w:eastAsia="宋体" w:hAnsi="宋体" w:cs="Times New Roman" w:hint="eastAsia"/>
          <w:b/>
          <w:color w:val="000000"/>
          <w:szCs w:val="21"/>
        </w:rPr>
        <w:t>持续</w:t>
      </w:r>
      <w:r>
        <w:rPr>
          <w:rFonts w:ascii="宋体" w:eastAsia="宋体" w:hAnsi="宋体" w:cs="Times New Roman"/>
          <w:b/>
          <w:color w:val="000000"/>
          <w:szCs w:val="21"/>
        </w:rPr>
        <w:t>预警学生</w:t>
      </w:r>
      <w:r>
        <w:rPr>
          <w:rFonts w:ascii="宋体" w:eastAsia="宋体" w:hAnsi="宋体" w:cs="Times New Roman" w:hint="eastAsia"/>
          <w:b/>
          <w:color w:val="000000"/>
          <w:szCs w:val="21"/>
        </w:rPr>
        <w:t>成为</w:t>
      </w:r>
      <w:r>
        <w:rPr>
          <w:rFonts w:ascii="宋体" w:eastAsia="宋体" w:hAnsi="宋体" w:cs="Times New Roman"/>
          <w:b/>
          <w:color w:val="000000"/>
          <w:szCs w:val="21"/>
        </w:rPr>
        <w:t>学业帮扶重点</w:t>
      </w:r>
    </w:p>
    <w:p w:rsidR="00721A26" w:rsidRDefault="00721A26" w:rsidP="00721A26">
      <w:pPr>
        <w:spacing w:line="288" w:lineRule="auto"/>
        <w:ind w:firstLineChars="200" w:firstLine="420"/>
        <w:rPr>
          <w:rFonts w:ascii="宋体" w:eastAsia="宋体" w:hAnsi="宋体" w:cs="Times New Roman"/>
          <w:color w:val="000000"/>
          <w:szCs w:val="21"/>
        </w:rPr>
      </w:pPr>
      <w:r>
        <w:rPr>
          <w:rFonts w:ascii="宋体" w:eastAsia="宋体" w:hAnsi="宋体" w:cs="Times New Roman" w:hint="eastAsia"/>
          <w:color w:val="000000"/>
          <w:szCs w:val="21"/>
        </w:rPr>
        <w:t>如下表所示，经过数期预警学生名单比对，匹配出</w:t>
      </w:r>
      <w:r>
        <w:rPr>
          <w:rFonts w:ascii="宋体" w:eastAsia="宋体" w:hAnsi="宋体" w:cs="Times New Roman"/>
          <w:color w:val="000000"/>
          <w:szCs w:val="21"/>
        </w:rPr>
        <w:t>1154</w:t>
      </w:r>
      <w:r>
        <w:rPr>
          <w:rFonts w:ascii="宋体" w:eastAsia="宋体" w:hAnsi="宋体" w:cs="Times New Roman" w:hint="eastAsia"/>
          <w:color w:val="000000"/>
          <w:szCs w:val="21"/>
        </w:rPr>
        <w:t>名持续预警学生，占该学期学业预警学生总数的</w:t>
      </w:r>
      <w:r>
        <w:rPr>
          <w:rFonts w:ascii="宋体" w:eastAsia="宋体" w:hAnsi="宋体" w:cs="Times New Roman"/>
          <w:color w:val="000000"/>
          <w:szCs w:val="21"/>
        </w:rPr>
        <w:t>56.10</w:t>
      </w:r>
      <w:r>
        <w:rPr>
          <w:rFonts w:ascii="宋体" w:eastAsia="宋体" w:hAnsi="宋体" w:cs="Times New Roman" w:hint="eastAsia"/>
          <w:color w:val="000000"/>
          <w:szCs w:val="21"/>
        </w:rPr>
        <w:t>%。其中，全校七个</w:t>
      </w:r>
      <w:r>
        <w:rPr>
          <w:rFonts w:ascii="宋体" w:eastAsia="宋体" w:hAnsi="宋体" w:cs="Times New Roman"/>
          <w:color w:val="000000"/>
          <w:szCs w:val="21"/>
        </w:rPr>
        <w:t>学期都预警的学生</w:t>
      </w:r>
      <w:r>
        <w:rPr>
          <w:rFonts w:ascii="宋体" w:eastAsia="宋体" w:hAnsi="宋体" w:cs="Times New Roman" w:hint="eastAsia"/>
          <w:color w:val="000000"/>
          <w:szCs w:val="21"/>
        </w:rPr>
        <w:t>109人</w:t>
      </w:r>
      <w:r>
        <w:rPr>
          <w:rFonts w:ascii="宋体" w:eastAsia="宋体" w:hAnsi="宋体" w:cs="Times New Roman"/>
          <w:color w:val="000000"/>
          <w:szCs w:val="21"/>
        </w:rPr>
        <w:t>，占本期预警学生</w:t>
      </w:r>
      <w:r>
        <w:rPr>
          <w:rFonts w:ascii="宋体" w:eastAsia="宋体" w:hAnsi="宋体" w:cs="Times New Roman" w:hint="eastAsia"/>
          <w:color w:val="000000"/>
          <w:szCs w:val="21"/>
        </w:rPr>
        <w:t>5.30</w:t>
      </w:r>
      <w:r>
        <w:rPr>
          <w:rFonts w:ascii="宋体" w:eastAsia="宋体" w:hAnsi="宋体" w:cs="Times New Roman"/>
          <w:color w:val="000000"/>
          <w:szCs w:val="21"/>
        </w:rPr>
        <w:t>%；</w:t>
      </w:r>
      <w:r>
        <w:rPr>
          <w:rFonts w:ascii="宋体" w:eastAsia="宋体" w:hAnsi="宋体" w:cs="Times New Roman" w:hint="eastAsia"/>
          <w:color w:val="000000"/>
          <w:szCs w:val="21"/>
        </w:rPr>
        <w:t>六个</w:t>
      </w:r>
      <w:r>
        <w:rPr>
          <w:rFonts w:ascii="宋体" w:eastAsia="宋体" w:hAnsi="宋体" w:cs="Times New Roman"/>
          <w:color w:val="000000"/>
          <w:szCs w:val="21"/>
        </w:rPr>
        <w:t>学期都预警的学生</w:t>
      </w:r>
      <w:r>
        <w:rPr>
          <w:rFonts w:ascii="宋体" w:eastAsia="宋体" w:hAnsi="宋体" w:cs="Times New Roman" w:hint="eastAsia"/>
          <w:color w:val="000000"/>
          <w:szCs w:val="21"/>
        </w:rPr>
        <w:t>61人</w:t>
      </w:r>
      <w:r>
        <w:rPr>
          <w:rFonts w:ascii="宋体" w:eastAsia="宋体" w:hAnsi="宋体" w:cs="Times New Roman"/>
          <w:color w:val="000000"/>
          <w:szCs w:val="21"/>
        </w:rPr>
        <w:t>，占本期预警学生</w:t>
      </w:r>
      <w:r>
        <w:rPr>
          <w:rFonts w:ascii="宋体" w:eastAsia="宋体" w:hAnsi="宋体" w:cs="Times New Roman" w:hint="eastAsia"/>
          <w:color w:val="000000"/>
          <w:szCs w:val="21"/>
        </w:rPr>
        <w:t>7.58</w:t>
      </w:r>
      <w:r>
        <w:rPr>
          <w:rFonts w:ascii="宋体" w:eastAsia="宋体" w:hAnsi="宋体" w:cs="Times New Roman"/>
          <w:color w:val="000000"/>
          <w:szCs w:val="21"/>
        </w:rPr>
        <w:t>%；</w:t>
      </w:r>
      <w:r>
        <w:rPr>
          <w:rFonts w:ascii="宋体" w:eastAsia="宋体" w:hAnsi="宋体" w:cs="Times New Roman" w:hint="eastAsia"/>
          <w:color w:val="000000"/>
          <w:szCs w:val="21"/>
        </w:rPr>
        <w:t>五个学期都预警的学生</w:t>
      </w:r>
      <w:r>
        <w:rPr>
          <w:rFonts w:ascii="宋体" w:eastAsia="宋体" w:hAnsi="宋体" w:cs="Times New Roman"/>
          <w:color w:val="000000"/>
          <w:szCs w:val="21"/>
        </w:rPr>
        <w:t>156</w:t>
      </w:r>
      <w:r>
        <w:rPr>
          <w:rFonts w:ascii="宋体" w:eastAsia="宋体" w:hAnsi="宋体" w:cs="Times New Roman" w:hint="eastAsia"/>
          <w:color w:val="000000"/>
          <w:szCs w:val="21"/>
        </w:rPr>
        <w:t>人,占本学期预警学生总数的7.63%；近四个学期都预警的学生</w:t>
      </w:r>
      <w:r>
        <w:rPr>
          <w:rFonts w:ascii="宋体" w:eastAsia="宋体" w:hAnsi="宋体" w:cs="Times New Roman"/>
          <w:color w:val="000000"/>
          <w:szCs w:val="21"/>
        </w:rPr>
        <w:t>157</w:t>
      </w:r>
      <w:r>
        <w:rPr>
          <w:rFonts w:ascii="宋体" w:eastAsia="宋体" w:hAnsi="宋体" w:cs="Times New Roman" w:hint="eastAsia"/>
          <w:color w:val="000000"/>
          <w:szCs w:val="21"/>
        </w:rPr>
        <w:t>人，占本学期预警学生总数的</w:t>
      </w:r>
      <w:r>
        <w:rPr>
          <w:rFonts w:ascii="宋体" w:eastAsia="宋体" w:hAnsi="宋体" w:cs="Times New Roman"/>
          <w:color w:val="000000"/>
          <w:szCs w:val="21"/>
        </w:rPr>
        <w:t>7.63</w:t>
      </w:r>
      <w:r>
        <w:rPr>
          <w:rFonts w:ascii="宋体" w:eastAsia="宋体" w:hAnsi="宋体" w:cs="Times New Roman" w:hint="eastAsia"/>
          <w:color w:val="000000"/>
          <w:szCs w:val="21"/>
        </w:rPr>
        <w:t>%；近三个学期都预警的学生301人，占本学期预警学生总数的</w:t>
      </w:r>
      <w:r>
        <w:rPr>
          <w:rFonts w:ascii="宋体" w:eastAsia="宋体" w:hAnsi="宋体" w:cs="Times New Roman"/>
          <w:color w:val="000000"/>
          <w:szCs w:val="21"/>
        </w:rPr>
        <w:t>14.63</w:t>
      </w:r>
      <w:r>
        <w:rPr>
          <w:rFonts w:ascii="宋体" w:eastAsia="宋体" w:hAnsi="宋体" w:cs="Times New Roman" w:hint="eastAsia"/>
          <w:color w:val="000000"/>
          <w:szCs w:val="21"/>
        </w:rPr>
        <w:t>%；近两个学期都预警的学生</w:t>
      </w:r>
      <w:r>
        <w:rPr>
          <w:rFonts w:ascii="宋体" w:eastAsia="宋体" w:hAnsi="宋体" w:cs="Times New Roman"/>
          <w:color w:val="000000"/>
          <w:szCs w:val="21"/>
        </w:rPr>
        <w:t>370</w:t>
      </w:r>
      <w:r>
        <w:rPr>
          <w:rFonts w:ascii="宋体" w:eastAsia="宋体" w:hAnsi="宋体" w:cs="Times New Roman" w:hint="eastAsia"/>
          <w:color w:val="000000"/>
          <w:szCs w:val="21"/>
        </w:rPr>
        <w:t>人，占本学期预警学生总数的17.99%。</w:t>
      </w:r>
      <w:bookmarkStart w:id="31" w:name="_Toc464660095"/>
      <w:bookmarkStart w:id="32" w:name="_Toc512593872"/>
      <w:bookmarkStart w:id="33" w:name="_Toc470366177"/>
    </w:p>
    <w:p w:rsidR="00721A26" w:rsidRDefault="00721A26" w:rsidP="00721A26">
      <w:pPr>
        <w:keepNext/>
        <w:spacing w:line="288" w:lineRule="auto"/>
        <w:jc w:val="center"/>
        <w:rPr>
          <w:rFonts w:ascii="宋体" w:eastAsia="宋体" w:hAnsi="宋体" w:cs="Times New Roman"/>
          <w:color w:val="000000"/>
          <w:szCs w:val="21"/>
        </w:rPr>
      </w:pPr>
      <w:r>
        <w:rPr>
          <w:rFonts w:ascii="宋体" w:eastAsia="宋体" w:hAnsi="宋体" w:cs="Times New Roman" w:hint="eastAsia"/>
          <w:color w:val="000000"/>
          <w:szCs w:val="21"/>
        </w:rPr>
        <w:t>表</w:t>
      </w:r>
      <w:r>
        <w:rPr>
          <w:rFonts w:ascii="宋体" w:eastAsia="宋体" w:hAnsi="宋体" w:cs="Times New Roman"/>
          <w:color w:val="000000"/>
          <w:szCs w:val="21"/>
        </w:rPr>
        <w:t>3.3</w:t>
      </w:r>
      <w:r>
        <w:rPr>
          <w:rFonts w:ascii="宋体" w:eastAsia="宋体" w:hAnsi="宋体" w:cs="Times New Roman" w:hint="eastAsia"/>
          <w:color w:val="000000"/>
          <w:szCs w:val="21"/>
        </w:rPr>
        <w:t>：2017-2018学年第一学期各学院持续预警学生分布</w:t>
      </w:r>
      <w:bookmarkEnd w:id="31"/>
      <w:bookmarkEnd w:id="32"/>
      <w:bookmarkEnd w:id="33"/>
    </w:p>
    <w:tbl>
      <w:tblPr>
        <w:tblW w:w="85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
        <w:gridCol w:w="806"/>
        <w:gridCol w:w="854"/>
        <w:gridCol w:w="942"/>
        <w:gridCol w:w="830"/>
        <w:gridCol w:w="830"/>
        <w:gridCol w:w="919"/>
        <w:gridCol w:w="943"/>
        <w:gridCol w:w="913"/>
        <w:gridCol w:w="943"/>
      </w:tblGrid>
      <w:tr w:rsidR="00721A26" w:rsidTr="00D90670">
        <w:trPr>
          <w:trHeight w:val="709"/>
          <w:jc w:val="center"/>
        </w:trPr>
        <w:tc>
          <w:tcPr>
            <w:tcW w:w="581" w:type="dxa"/>
            <w:shd w:val="clear" w:color="auto" w:fill="C6D9F0"/>
            <w:vAlign w:val="center"/>
          </w:tcPr>
          <w:p w:rsidR="00721A26" w:rsidRDefault="00721A26" w:rsidP="00D90670">
            <w:pPr>
              <w:jc w:val="center"/>
              <w:rPr>
                <w:rFonts w:ascii="宋体" w:eastAsia="宋体" w:hAnsi="宋体" w:cs="Times New Roman"/>
                <w:b/>
                <w:color w:val="000000"/>
                <w:sz w:val="18"/>
                <w:szCs w:val="18"/>
              </w:rPr>
            </w:pPr>
            <w:r>
              <w:rPr>
                <w:rFonts w:ascii="宋体" w:eastAsia="宋体" w:hAnsi="宋体" w:cs="Times New Roman" w:hint="eastAsia"/>
                <w:b/>
                <w:color w:val="000000"/>
                <w:sz w:val="18"/>
                <w:szCs w:val="18"/>
              </w:rPr>
              <w:t>学院</w:t>
            </w:r>
          </w:p>
        </w:tc>
        <w:tc>
          <w:tcPr>
            <w:tcW w:w="806" w:type="dxa"/>
            <w:shd w:val="clear" w:color="auto" w:fill="C6D9F0"/>
            <w:vAlign w:val="center"/>
          </w:tcPr>
          <w:p w:rsidR="00721A26" w:rsidRDefault="00721A26" w:rsidP="00D90670">
            <w:pPr>
              <w:jc w:val="center"/>
              <w:rPr>
                <w:rFonts w:ascii="宋体" w:eastAsia="宋体" w:hAnsi="宋体" w:cs="Times New Roman"/>
                <w:b/>
                <w:color w:val="000000"/>
                <w:sz w:val="18"/>
                <w:szCs w:val="18"/>
              </w:rPr>
            </w:pPr>
            <w:r>
              <w:rPr>
                <w:rFonts w:ascii="宋体" w:eastAsia="宋体" w:hAnsi="宋体" w:cs="Times New Roman" w:hint="eastAsia"/>
                <w:b/>
                <w:color w:val="000000"/>
                <w:sz w:val="18"/>
                <w:szCs w:val="18"/>
              </w:rPr>
              <w:t>本期预警</w:t>
            </w:r>
          </w:p>
        </w:tc>
        <w:tc>
          <w:tcPr>
            <w:tcW w:w="854" w:type="dxa"/>
            <w:shd w:val="clear" w:color="auto" w:fill="C6D9F0"/>
            <w:vAlign w:val="center"/>
          </w:tcPr>
          <w:p w:rsidR="00721A26" w:rsidRDefault="00721A26" w:rsidP="00D90670">
            <w:pPr>
              <w:jc w:val="center"/>
              <w:rPr>
                <w:rFonts w:ascii="宋体" w:eastAsia="宋体" w:hAnsi="宋体" w:cs="Times New Roman"/>
                <w:b/>
                <w:color w:val="000000"/>
                <w:sz w:val="18"/>
                <w:szCs w:val="18"/>
              </w:rPr>
            </w:pPr>
            <w:r>
              <w:rPr>
                <w:rFonts w:ascii="宋体" w:eastAsia="宋体" w:hAnsi="宋体" w:cs="Times New Roman" w:hint="eastAsia"/>
                <w:b/>
                <w:color w:val="000000"/>
                <w:sz w:val="18"/>
                <w:szCs w:val="18"/>
              </w:rPr>
              <w:t>持续</w:t>
            </w:r>
            <w:r>
              <w:rPr>
                <w:rFonts w:ascii="宋体" w:eastAsia="宋体" w:hAnsi="宋体" w:cs="Times New Roman"/>
                <w:b/>
                <w:color w:val="000000"/>
                <w:sz w:val="18"/>
                <w:szCs w:val="18"/>
              </w:rPr>
              <w:t>预警</w:t>
            </w:r>
          </w:p>
        </w:tc>
        <w:tc>
          <w:tcPr>
            <w:tcW w:w="942" w:type="dxa"/>
            <w:shd w:val="clear" w:color="auto" w:fill="C6D9F0"/>
            <w:vAlign w:val="center"/>
          </w:tcPr>
          <w:p w:rsidR="00721A26" w:rsidRDefault="00721A26" w:rsidP="00D90670">
            <w:pPr>
              <w:jc w:val="center"/>
              <w:rPr>
                <w:rFonts w:ascii="宋体" w:eastAsia="宋体" w:hAnsi="宋体" w:cs="Times New Roman"/>
                <w:b/>
                <w:color w:val="000000"/>
                <w:sz w:val="18"/>
                <w:szCs w:val="18"/>
              </w:rPr>
            </w:pPr>
            <w:r>
              <w:rPr>
                <w:rFonts w:ascii="宋体" w:eastAsia="宋体" w:hAnsi="宋体" w:cs="Times New Roman" w:hint="eastAsia"/>
                <w:b/>
                <w:color w:val="000000"/>
                <w:sz w:val="18"/>
                <w:szCs w:val="18"/>
              </w:rPr>
              <w:t>持续/本期</w:t>
            </w:r>
          </w:p>
        </w:tc>
        <w:tc>
          <w:tcPr>
            <w:tcW w:w="830" w:type="dxa"/>
            <w:shd w:val="clear" w:color="auto" w:fill="C6D9F0"/>
            <w:vAlign w:val="center"/>
          </w:tcPr>
          <w:p w:rsidR="00721A26" w:rsidRDefault="00721A26" w:rsidP="00D90670">
            <w:pPr>
              <w:jc w:val="center"/>
              <w:rPr>
                <w:rFonts w:ascii="宋体" w:eastAsia="宋体" w:hAnsi="宋体" w:cs="Times New Roman"/>
                <w:b/>
                <w:color w:val="000000"/>
                <w:sz w:val="18"/>
                <w:szCs w:val="18"/>
              </w:rPr>
            </w:pPr>
            <w:r>
              <w:rPr>
                <w:rFonts w:ascii="宋体" w:eastAsia="宋体" w:hAnsi="宋体" w:cs="Times New Roman" w:hint="eastAsia"/>
                <w:b/>
                <w:color w:val="000000"/>
                <w:sz w:val="18"/>
                <w:szCs w:val="18"/>
              </w:rPr>
              <w:t>连续</w:t>
            </w:r>
            <w:r>
              <w:rPr>
                <w:rFonts w:ascii="宋体" w:eastAsia="宋体" w:hAnsi="宋体" w:cs="Times New Roman"/>
                <w:b/>
                <w:color w:val="000000"/>
                <w:sz w:val="18"/>
                <w:szCs w:val="18"/>
              </w:rPr>
              <w:t>7期</w:t>
            </w:r>
          </w:p>
        </w:tc>
        <w:tc>
          <w:tcPr>
            <w:tcW w:w="830" w:type="dxa"/>
            <w:shd w:val="clear" w:color="auto" w:fill="C6D9F0"/>
            <w:vAlign w:val="center"/>
          </w:tcPr>
          <w:p w:rsidR="00721A26" w:rsidRDefault="00721A26" w:rsidP="00D90670">
            <w:pPr>
              <w:jc w:val="center"/>
              <w:rPr>
                <w:rFonts w:ascii="宋体" w:eastAsia="宋体" w:hAnsi="宋体" w:cs="Times New Roman"/>
                <w:b/>
                <w:color w:val="000000"/>
                <w:sz w:val="18"/>
                <w:szCs w:val="18"/>
              </w:rPr>
            </w:pPr>
            <w:r>
              <w:rPr>
                <w:rFonts w:ascii="宋体" w:eastAsia="宋体" w:hAnsi="宋体" w:cs="Times New Roman" w:hint="eastAsia"/>
                <w:b/>
                <w:color w:val="000000"/>
                <w:sz w:val="18"/>
                <w:szCs w:val="18"/>
              </w:rPr>
              <w:t>连续</w:t>
            </w:r>
            <w:r>
              <w:rPr>
                <w:rFonts w:ascii="宋体" w:eastAsia="宋体" w:hAnsi="宋体" w:cs="Times New Roman"/>
                <w:b/>
                <w:color w:val="000000"/>
                <w:sz w:val="18"/>
                <w:szCs w:val="18"/>
              </w:rPr>
              <w:t>6期</w:t>
            </w:r>
          </w:p>
        </w:tc>
        <w:tc>
          <w:tcPr>
            <w:tcW w:w="919" w:type="dxa"/>
            <w:shd w:val="clear" w:color="auto" w:fill="C6D9F0"/>
            <w:vAlign w:val="center"/>
          </w:tcPr>
          <w:p w:rsidR="00721A26" w:rsidRDefault="00721A26" w:rsidP="00D90670">
            <w:pPr>
              <w:jc w:val="center"/>
              <w:rPr>
                <w:rFonts w:ascii="宋体" w:eastAsia="宋体" w:hAnsi="宋体" w:cs="Times New Roman"/>
                <w:b/>
                <w:color w:val="000000"/>
                <w:sz w:val="18"/>
                <w:szCs w:val="18"/>
              </w:rPr>
            </w:pPr>
            <w:r>
              <w:rPr>
                <w:rFonts w:ascii="宋体" w:eastAsia="宋体" w:hAnsi="宋体" w:cs="Times New Roman" w:hint="eastAsia"/>
                <w:b/>
                <w:color w:val="000000"/>
                <w:sz w:val="18"/>
                <w:szCs w:val="18"/>
              </w:rPr>
              <w:t>连续5</w:t>
            </w:r>
            <w:r>
              <w:rPr>
                <w:rFonts w:ascii="宋体" w:eastAsia="宋体" w:hAnsi="宋体" w:cs="Times New Roman"/>
                <w:b/>
                <w:color w:val="000000"/>
                <w:sz w:val="18"/>
                <w:szCs w:val="18"/>
              </w:rPr>
              <w:t>期</w:t>
            </w:r>
          </w:p>
        </w:tc>
        <w:tc>
          <w:tcPr>
            <w:tcW w:w="943" w:type="dxa"/>
            <w:shd w:val="clear" w:color="auto" w:fill="C6D9F0"/>
            <w:vAlign w:val="center"/>
          </w:tcPr>
          <w:p w:rsidR="00721A26" w:rsidRDefault="00721A26" w:rsidP="00D90670">
            <w:pPr>
              <w:jc w:val="center"/>
              <w:rPr>
                <w:rFonts w:ascii="宋体" w:eastAsia="宋体" w:hAnsi="宋体" w:cs="Times New Roman"/>
                <w:b/>
                <w:color w:val="000000"/>
                <w:sz w:val="18"/>
                <w:szCs w:val="18"/>
              </w:rPr>
            </w:pPr>
            <w:r>
              <w:rPr>
                <w:rFonts w:ascii="宋体" w:eastAsia="宋体" w:hAnsi="宋体" w:cs="Times New Roman" w:hint="eastAsia"/>
                <w:b/>
                <w:color w:val="000000"/>
                <w:sz w:val="18"/>
                <w:szCs w:val="18"/>
              </w:rPr>
              <w:t>连续4</w:t>
            </w:r>
            <w:r>
              <w:rPr>
                <w:rFonts w:ascii="宋体" w:eastAsia="宋体" w:hAnsi="宋体" w:cs="Times New Roman"/>
                <w:b/>
                <w:color w:val="000000"/>
                <w:sz w:val="18"/>
                <w:szCs w:val="18"/>
              </w:rPr>
              <w:t>期</w:t>
            </w:r>
          </w:p>
        </w:tc>
        <w:tc>
          <w:tcPr>
            <w:tcW w:w="913" w:type="dxa"/>
            <w:shd w:val="clear" w:color="auto" w:fill="C6D9F0"/>
            <w:vAlign w:val="center"/>
          </w:tcPr>
          <w:p w:rsidR="00721A26" w:rsidRDefault="00721A26" w:rsidP="00D90670">
            <w:pPr>
              <w:jc w:val="center"/>
              <w:rPr>
                <w:rFonts w:ascii="宋体" w:eastAsia="宋体" w:hAnsi="宋体" w:cs="Times New Roman"/>
                <w:b/>
                <w:color w:val="000000"/>
                <w:sz w:val="18"/>
                <w:szCs w:val="18"/>
              </w:rPr>
            </w:pPr>
            <w:r>
              <w:rPr>
                <w:rFonts w:ascii="宋体" w:eastAsia="宋体" w:hAnsi="宋体" w:cs="Times New Roman" w:hint="eastAsia"/>
                <w:b/>
                <w:color w:val="000000"/>
                <w:sz w:val="18"/>
                <w:szCs w:val="18"/>
              </w:rPr>
              <w:t>连续3</w:t>
            </w:r>
            <w:r>
              <w:rPr>
                <w:rFonts w:ascii="宋体" w:eastAsia="宋体" w:hAnsi="宋体" w:cs="Times New Roman"/>
                <w:b/>
                <w:color w:val="000000"/>
                <w:sz w:val="18"/>
                <w:szCs w:val="18"/>
              </w:rPr>
              <w:t>期</w:t>
            </w:r>
          </w:p>
        </w:tc>
        <w:tc>
          <w:tcPr>
            <w:tcW w:w="943" w:type="dxa"/>
            <w:shd w:val="clear" w:color="auto" w:fill="C6D9F0"/>
            <w:vAlign w:val="center"/>
          </w:tcPr>
          <w:p w:rsidR="00721A26" w:rsidRDefault="00721A26" w:rsidP="00D90670">
            <w:pPr>
              <w:jc w:val="center"/>
              <w:rPr>
                <w:rFonts w:ascii="宋体" w:eastAsia="宋体" w:hAnsi="宋体" w:cs="Times New Roman"/>
                <w:b/>
                <w:color w:val="000000"/>
                <w:sz w:val="18"/>
                <w:szCs w:val="18"/>
              </w:rPr>
            </w:pPr>
            <w:r>
              <w:rPr>
                <w:rFonts w:ascii="宋体" w:eastAsia="宋体" w:hAnsi="宋体" w:cs="Times New Roman" w:hint="eastAsia"/>
                <w:b/>
                <w:color w:val="000000"/>
                <w:sz w:val="18"/>
                <w:szCs w:val="18"/>
              </w:rPr>
              <w:t>连续2</w:t>
            </w:r>
            <w:r>
              <w:rPr>
                <w:rFonts w:ascii="宋体" w:eastAsia="宋体" w:hAnsi="宋体" w:cs="Times New Roman"/>
                <w:b/>
                <w:color w:val="000000"/>
                <w:sz w:val="18"/>
                <w:szCs w:val="18"/>
              </w:rPr>
              <w:t>期</w:t>
            </w:r>
          </w:p>
        </w:tc>
      </w:tr>
      <w:tr w:rsidR="00721A26" w:rsidTr="00D90670">
        <w:trPr>
          <w:trHeight w:val="298"/>
          <w:jc w:val="center"/>
        </w:trPr>
        <w:tc>
          <w:tcPr>
            <w:tcW w:w="581" w:type="dxa"/>
            <w:vAlign w:val="center"/>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hint="eastAsia"/>
                <w:color w:val="000000"/>
                <w:sz w:val="18"/>
                <w:szCs w:val="18"/>
              </w:rPr>
              <w:t>法院</w:t>
            </w:r>
          </w:p>
        </w:tc>
        <w:tc>
          <w:tcPr>
            <w:tcW w:w="806" w:type="dxa"/>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68</w:t>
            </w:r>
          </w:p>
        </w:tc>
        <w:tc>
          <w:tcPr>
            <w:tcW w:w="854" w:type="dxa"/>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29</w:t>
            </w:r>
          </w:p>
        </w:tc>
        <w:tc>
          <w:tcPr>
            <w:tcW w:w="942" w:type="dxa"/>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42.65%</w:t>
            </w:r>
          </w:p>
        </w:tc>
        <w:tc>
          <w:tcPr>
            <w:tcW w:w="830" w:type="dxa"/>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5</w:t>
            </w:r>
          </w:p>
        </w:tc>
        <w:tc>
          <w:tcPr>
            <w:tcW w:w="830" w:type="dxa"/>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3</w:t>
            </w:r>
          </w:p>
        </w:tc>
        <w:tc>
          <w:tcPr>
            <w:tcW w:w="919" w:type="dxa"/>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4</w:t>
            </w:r>
          </w:p>
        </w:tc>
        <w:tc>
          <w:tcPr>
            <w:tcW w:w="943" w:type="dxa"/>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4</w:t>
            </w:r>
          </w:p>
        </w:tc>
        <w:tc>
          <w:tcPr>
            <w:tcW w:w="913" w:type="dxa"/>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4</w:t>
            </w:r>
          </w:p>
        </w:tc>
        <w:tc>
          <w:tcPr>
            <w:tcW w:w="943" w:type="dxa"/>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9</w:t>
            </w:r>
          </w:p>
        </w:tc>
      </w:tr>
      <w:tr w:rsidR="00721A26" w:rsidTr="00D90670">
        <w:trPr>
          <w:trHeight w:val="298"/>
          <w:jc w:val="center"/>
        </w:trPr>
        <w:tc>
          <w:tcPr>
            <w:tcW w:w="581" w:type="dxa"/>
            <w:vAlign w:val="center"/>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hint="eastAsia"/>
                <w:color w:val="000000"/>
                <w:sz w:val="18"/>
                <w:szCs w:val="18"/>
              </w:rPr>
              <w:t>文传</w:t>
            </w:r>
          </w:p>
        </w:tc>
        <w:tc>
          <w:tcPr>
            <w:tcW w:w="806" w:type="dxa"/>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47</w:t>
            </w:r>
          </w:p>
        </w:tc>
        <w:tc>
          <w:tcPr>
            <w:tcW w:w="854" w:type="dxa"/>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12</w:t>
            </w:r>
          </w:p>
        </w:tc>
        <w:tc>
          <w:tcPr>
            <w:tcW w:w="942" w:type="dxa"/>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25.53%</w:t>
            </w:r>
          </w:p>
        </w:tc>
        <w:tc>
          <w:tcPr>
            <w:tcW w:w="830" w:type="dxa"/>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0</w:t>
            </w:r>
          </w:p>
        </w:tc>
        <w:tc>
          <w:tcPr>
            <w:tcW w:w="830" w:type="dxa"/>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1</w:t>
            </w:r>
          </w:p>
        </w:tc>
        <w:tc>
          <w:tcPr>
            <w:tcW w:w="919" w:type="dxa"/>
          </w:tcPr>
          <w:p w:rsidR="00721A26" w:rsidRDefault="00721A26" w:rsidP="00D90670">
            <w:pPr>
              <w:jc w:val="center"/>
              <w:rPr>
                <w:rFonts w:ascii="宋体" w:eastAsia="宋体" w:hAnsi="宋体" w:cs="Times New Roman"/>
                <w:color w:val="000000"/>
                <w:sz w:val="18"/>
                <w:szCs w:val="18"/>
              </w:rPr>
            </w:pPr>
          </w:p>
        </w:tc>
        <w:tc>
          <w:tcPr>
            <w:tcW w:w="943" w:type="dxa"/>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1</w:t>
            </w:r>
          </w:p>
        </w:tc>
        <w:tc>
          <w:tcPr>
            <w:tcW w:w="913" w:type="dxa"/>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6</w:t>
            </w:r>
          </w:p>
        </w:tc>
        <w:tc>
          <w:tcPr>
            <w:tcW w:w="943" w:type="dxa"/>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4</w:t>
            </w:r>
          </w:p>
        </w:tc>
      </w:tr>
      <w:tr w:rsidR="00721A26" w:rsidTr="00D90670">
        <w:trPr>
          <w:trHeight w:val="298"/>
          <w:jc w:val="center"/>
        </w:trPr>
        <w:tc>
          <w:tcPr>
            <w:tcW w:w="581" w:type="dxa"/>
            <w:vAlign w:val="center"/>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hint="eastAsia"/>
                <w:color w:val="000000"/>
                <w:sz w:val="18"/>
                <w:szCs w:val="18"/>
              </w:rPr>
              <w:t>美院</w:t>
            </w:r>
          </w:p>
        </w:tc>
        <w:tc>
          <w:tcPr>
            <w:tcW w:w="806" w:type="dxa"/>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78</w:t>
            </w:r>
          </w:p>
        </w:tc>
        <w:tc>
          <w:tcPr>
            <w:tcW w:w="854" w:type="dxa"/>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15</w:t>
            </w:r>
          </w:p>
        </w:tc>
        <w:tc>
          <w:tcPr>
            <w:tcW w:w="942" w:type="dxa"/>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19.23%</w:t>
            </w:r>
          </w:p>
        </w:tc>
        <w:tc>
          <w:tcPr>
            <w:tcW w:w="830" w:type="dxa"/>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0</w:t>
            </w:r>
          </w:p>
        </w:tc>
        <w:tc>
          <w:tcPr>
            <w:tcW w:w="830" w:type="dxa"/>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0</w:t>
            </w:r>
          </w:p>
        </w:tc>
        <w:tc>
          <w:tcPr>
            <w:tcW w:w="919" w:type="dxa"/>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0</w:t>
            </w:r>
          </w:p>
        </w:tc>
        <w:tc>
          <w:tcPr>
            <w:tcW w:w="943" w:type="dxa"/>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2</w:t>
            </w:r>
          </w:p>
        </w:tc>
        <w:tc>
          <w:tcPr>
            <w:tcW w:w="913" w:type="dxa"/>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3</w:t>
            </w:r>
          </w:p>
        </w:tc>
        <w:tc>
          <w:tcPr>
            <w:tcW w:w="943" w:type="dxa"/>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10</w:t>
            </w:r>
          </w:p>
        </w:tc>
      </w:tr>
      <w:tr w:rsidR="00721A26" w:rsidTr="00D90670">
        <w:trPr>
          <w:trHeight w:val="298"/>
          <w:jc w:val="center"/>
        </w:trPr>
        <w:tc>
          <w:tcPr>
            <w:tcW w:w="581" w:type="dxa"/>
            <w:vAlign w:val="center"/>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hint="eastAsia"/>
                <w:color w:val="000000"/>
                <w:sz w:val="18"/>
                <w:szCs w:val="18"/>
              </w:rPr>
              <w:t>民社</w:t>
            </w:r>
          </w:p>
        </w:tc>
        <w:tc>
          <w:tcPr>
            <w:tcW w:w="806" w:type="dxa"/>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21</w:t>
            </w:r>
          </w:p>
        </w:tc>
        <w:tc>
          <w:tcPr>
            <w:tcW w:w="854" w:type="dxa"/>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10</w:t>
            </w:r>
          </w:p>
        </w:tc>
        <w:tc>
          <w:tcPr>
            <w:tcW w:w="942" w:type="dxa"/>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47.62%</w:t>
            </w:r>
          </w:p>
        </w:tc>
        <w:tc>
          <w:tcPr>
            <w:tcW w:w="830" w:type="dxa"/>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0</w:t>
            </w:r>
          </w:p>
        </w:tc>
        <w:tc>
          <w:tcPr>
            <w:tcW w:w="830" w:type="dxa"/>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0</w:t>
            </w:r>
          </w:p>
        </w:tc>
        <w:tc>
          <w:tcPr>
            <w:tcW w:w="919" w:type="dxa"/>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2</w:t>
            </w:r>
          </w:p>
        </w:tc>
        <w:tc>
          <w:tcPr>
            <w:tcW w:w="943" w:type="dxa"/>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1</w:t>
            </w:r>
          </w:p>
        </w:tc>
        <w:tc>
          <w:tcPr>
            <w:tcW w:w="913" w:type="dxa"/>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1</w:t>
            </w:r>
          </w:p>
        </w:tc>
        <w:tc>
          <w:tcPr>
            <w:tcW w:w="943" w:type="dxa"/>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6</w:t>
            </w:r>
          </w:p>
        </w:tc>
      </w:tr>
      <w:tr w:rsidR="00721A26" w:rsidTr="00D90670">
        <w:trPr>
          <w:trHeight w:val="298"/>
          <w:jc w:val="center"/>
        </w:trPr>
        <w:tc>
          <w:tcPr>
            <w:tcW w:w="581" w:type="dxa"/>
            <w:vAlign w:val="center"/>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hint="eastAsia"/>
                <w:color w:val="000000"/>
                <w:sz w:val="18"/>
                <w:szCs w:val="18"/>
              </w:rPr>
              <w:t>外院</w:t>
            </w:r>
          </w:p>
        </w:tc>
        <w:tc>
          <w:tcPr>
            <w:tcW w:w="806" w:type="dxa"/>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42</w:t>
            </w:r>
          </w:p>
        </w:tc>
        <w:tc>
          <w:tcPr>
            <w:tcW w:w="854" w:type="dxa"/>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26</w:t>
            </w:r>
          </w:p>
        </w:tc>
        <w:tc>
          <w:tcPr>
            <w:tcW w:w="942" w:type="dxa"/>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61.90%</w:t>
            </w:r>
          </w:p>
        </w:tc>
        <w:tc>
          <w:tcPr>
            <w:tcW w:w="830" w:type="dxa"/>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1</w:t>
            </w:r>
          </w:p>
        </w:tc>
        <w:tc>
          <w:tcPr>
            <w:tcW w:w="830" w:type="dxa"/>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1</w:t>
            </w:r>
          </w:p>
        </w:tc>
        <w:tc>
          <w:tcPr>
            <w:tcW w:w="919" w:type="dxa"/>
          </w:tcPr>
          <w:p w:rsidR="00721A26" w:rsidRDefault="00721A26" w:rsidP="00D90670">
            <w:pPr>
              <w:jc w:val="center"/>
              <w:rPr>
                <w:rFonts w:ascii="宋体" w:eastAsia="宋体" w:hAnsi="宋体" w:cs="Times New Roman"/>
                <w:color w:val="000000"/>
                <w:sz w:val="18"/>
                <w:szCs w:val="18"/>
              </w:rPr>
            </w:pPr>
          </w:p>
        </w:tc>
        <w:tc>
          <w:tcPr>
            <w:tcW w:w="943" w:type="dxa"/>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3</w:t>
            </w:r>
          </w:p>
        </w:tc>
        <w:tc>
          <w:tcPr>
            <w:tcW w:w="913" w:type="dxa"/>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5</w:t>
            </w:r>
          </w:p>
        </w:tc>
        <w:tc>
          <w:tcPr>
            <w:tcW w:w="943" w:type="dxa"/>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16</w:t>
            </w:r>
          </w:p>
        </w:tc>
      </w:tr>
      <w:tr w:rsidR="00721A26" w:rsidTr="00D90670">
        <w:trPr>
          <w:trHeight w:val="298"/>
          <w:jc w:val="center"/>
        </w:trPr>
        <w:tc>
          <w:tcPr>
            <w:tcW w:w="581" w:type="dxa"/>
            <w:vAlign w:val="center"/>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hint="eastAsia"/>
                <w:color w:val="000000"/>
                <w:sz w:val="18"/>
                <w:szCs w:val="18"/>
              </w:rPr>
              <w:t>经院</w:t>
            </w:r>
          </w:p>
        </w:tc>
        <w:tc>
          <w:tcPr>
            <w:tcW w:w="806" w:type="dxa"/>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127</w:t>
            </w:r>
          </w:p>
        </w:tc>
        <w:tc>
          <w:tcPr>
            <w:tcW w:w="854" w:type="dxa"/>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75</w:t>
            </w:r>
          </w:p>
        </w:tc>
        <w:tc>
          <w:tcPr>
            <w:tcW w:w="942" w:type="dxa"/>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59.06%</w:t>
            </w:r>
          </w:p>
        </w:tc>
        <w:tc>
          <w:tcPr>
            <w:tcW w:w="830" w:type="dxa"/>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6</w:t>
            </w:r>
          </w:p>
        </w:tc>
        <w:tc>
          <w:tcPr>
            <w:tcW w:w="830" w:type="dxa"/>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1</w:t>
            </w:r>
          </w:p>
        </w:tc>
        <w:tc>
          <w:tcPr>
            <w:tcW w:w="919" w:type="dxa"/>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8</w:t>
            </w:r>
          </w:p>
        </w:tc>
        <w:tc>
          <w:tcPr>
            <w:tcW w:w="943" w:type="dxa"/>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7</w:t>
            </w:r>
          </w:p>
        </w:tc>
        <w:tc>
          <w:tcPr>
            <w:tcW w:w="913" w:type="dxa"/>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22</w:t>
            </w:r>
          </w:p>
        </w:tc>
        <w:tc>
          <w:tcPr>
            <w:tcW w:w="943" w:type="dxa"/>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31</w:t>
            </w:r>
          </w:p>
        </w:tc>
      </w:tr>
      <w:tr w:rsidR="00721A26" w:rsidTr="00D90670">
        <w:trPr>
          <w:trHeight w:val="298"/>
          <w:jc w:val="center"/>
        </w:trPr>
        <w:tc>
          <w:tcPr>
            <w:tcW w:w="581" w:type="dxa"/>
            <w:vAlign w:val="center"/>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hint="eastAsia"/>
                <w:color w:val="000000"/>
                <w:sz w:val="18"/>
                <w:szCs w:val="18"/>
              </w:rPr>
              <w:t>管院</w:t>
            </w:r>
          </w:p>
        </w:tc>
        <w:tc>
          <w:tcPr>
            <w:tcW w:w="806" w:type="dxa"/>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192</w:t>
            </w:r>
          </w:p>
        </w:tc>
        <w:tc>
          <w:tcPr>
            <w:tcW w:w="854" w:type="dxa"/>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105</w:t>
            </w:r>
          </w:p>
        </w:tc>
        <w:tc>
          <w:tcPr>
            <w:tcW w:w="942" w:type="dxa"/>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54.69%</w:t>
            </w:r>
          </w:p>
        </w:tc>
        <w:tc>
          <w:tcPr>
            <w:tcW w:w="830" w:type="dxa"/>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5</w:t>
            </w:r>
          </w:p>
        </w:tc>
        <w:tc>
          <w:tcPr>
            <w:tcW w:w="830" w:type="dxa"/>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1</w:t>
            </w:r>
          </w:p>
        </w:tc>
        <w:tc>
          <w:tcPr>
            <w:tcW w:w="919" w:type="dxa"/>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7</w:t>
            </w:r>
          </w:p>
        </w:tc>
        <w:tc>
          <w:tcPr>
            <w:tcW w:w="943" w:type="dxa"/>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6</w:t>
            </w:r>
          </w:p>
        </w:tc>
        <w:tc>
          <w:tcPr>
            <w:tcW w:w="913" w:type="dxa"/>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37</w:t>
            </w:r>
          </w:p>
        </w:tc>
        <w:tc>
          <w:tcPr>
            <w:tcW w:w="943" w:type="dxa"/>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49</w:t>
            </w:r>
          </w:p>
        </w:tc>
      </w:tr>
      <w:tr w:rsidR="00721A26" w:rsidTr="00D90670">
        <w:trPr>
          <w:trHeight w:val="298"/>
          <w:jc w:val="center"/>
        </w:trPr>
        <w:tc>
          <w:tcPr>
            <w:tcW w:w="581" w:type="dxa"/>
            <w:vAlign w:val="center"/>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hint="eastAsia"/>
                <w:color w:val="000000"/>
                <w:sz w:val="18"/>
                <w:szCs w:val="18"/>
              </w:rPr>
              <w:t>公管</w:t>
            </w:r>
          </w:p>
        </w:tc>
        <w:tc>
          <w:tcPr>
            <w:tcW w:w="806" w:type="dxa"/>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82</w:t>
            </w:r>
          </w:p>
        </w:tc>
        <w:tc>
          <w:tcPr>
            <w:tcW w:w="854" w:type="dxa"/>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51</w:t>
            </w:r>
          </w:p>
        </w:tc>
        <w:tc>
          <w:tcPr>
            <w:tcW w:w="942" w:type="dxa"/>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62.20%</w:t>
            </w:r>
          </w:p>
        </w:tc>
        <w:tc>
          <w:tcPr>
            <w:tcW w:w="830" w:type="dxa"/>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1</w:t>
            </w:r>
          </w:p>
        </w:tc>
        <w:tc>
          <w:tcPr>
            <w:tcW w:w="830" w:type="dxa"/>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9</w:t>
            </w:r>
          </w:p>
        </w:tc>
        <w:tc>
          <w:tcPr>
            <w:tcW w:w="919" w:type="dxa"/>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4</w:t>
            </w:r>
          </w:p>
        </w:tc>
        <w:tc>
          <w:tcPr>
            <w:tcW w:w="943" w:type="dxa"/>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3</w:t>
            </w:r>
          </w:p>
        </w:tc>
        <w:tc>
          <w:tcPr>
            <w:tcW w:w="913" w:type="dxa"/>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30</w:t>
            </w:r>
          </w:p>
        </w:tc>
        <w:tc>
          <w:tcPr>
            <w:tcW w:w="943" w:type="dxa"/>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4</w:t>
            </w:r>
          </w:p>
        </w:tc>
      </w:tr>
      <w:tr w:rsidR="00721A26" w:rsidTr="00D90670">
        <w:trPr>
          <w:trHeight w:val="298"/>
          <w:jc w:val="center"/>
        </w:trPr>
        <w:tc>
          <w:tcPr>
            <w:tcW w:w="581" w:type="dxa"/>
            <w:vAlign w:val="center"/>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hint="eastAsia"/>
                <w:color w:val="000000"/>
                <w:sz w:val="18"/>
                <w:szCs w:val="18"/>
              </w:rPr>
              <w:t>教育</w:t>
            </w:r>
          </w:p>
        </w:tc>
        <w:tc>
          <w:tcPr>
            <w:tcW w:w="806" w:type="dxa"/>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23</w:t>
            </w:r>
          </w:p>
        </w:tc>
        <w:tc>
          <w:tcPr>
            <w:tcW w:w="854" w:type="dxa"/>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8</w:t>
            </w:r>
          </w:p>
        </w:tc>
        <w:tc>
          <w:tcPr>
            <w:tcW w:w="942" w:type="dxa"/>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34.78%</w:t>
            </w:r>
          </w:p>
        </w:tc>
        <w:tc>
          <w:tcPr>
            <w:tcW w:w="830" w:type="dxa"/>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0</w:t>
            </w:r>
          </w:p>
        </w:tc>
        <w:tc>
          <w:tcPr>
            <w:tcW w:w="830" w:type="dxa"/>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0</w:t>
            </w:r>
          </w:p>
        </w:tc>
        <w:tc>
          <w:tcPr>
            <w:tcW w:w="919" w:type="dxa"/>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2</w:t>
            </w:r>
          </w:p>
        </w:tc>
        <w:tc>
          <w:tcPr>
            <w:tcW w:w="943" w:type="dxa"/>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2</w:t>
            </w:r>
          </w:p>
        </w:tc>
        <w:tc>
          <w:tcPr>
            <w:tcW w:w="913" w:type="dxa"/>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1</w:t>
            </w:r>
          </w:p>
        </w:tc>
        <w:tc>
          <w:tcPr>
            <w:tcW w:w="943" w:type="dxa"/>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3</w:t>
            </w:r>
          </w:p>
        </w:tc>
      </w:tr>
      <w:tr w:rsidR="00721A26" w:rsidTr="00D90670">
        <w:trPr>
          <w:trHeight w:val="298"/>
          <w:jc w:val="center"/>
        </w:trPr>
        <w:tc>
          <w:tcPr>
            <w:tcW w:w="581" w:type="dxa"/>
            <w:vAlign w:val="center"/>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hint="eastAsia"/>
                <w:color w:val="000000"/>
                <w:sz w:val="18"/>
                <w:szCs w:val="18"/>
              </w:rPr>
              <w:t>马院</w:t>
            </w:r>
          </w:p>
        </w:tc>
        <w:tc>
          <w:tcPr>
            <w:tcW w:w="806" w:type="dxa"/>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15</w:t>
            </w:r>
          </w:p>
        </w:tc>
        <w:tc>
          <w:tcPr>
            <w:tcW w:w="854" w:type="dxa"/>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4</w:t>
            </w:r>
          </w:p>
        </w:tc>
        <w:tc>
          <w:tcPr>
            <w:tcW w:w="942" w:type="dxa"/>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26.67%</w:t>
            </w:r>
          </w:p>
        </w:tc>
        <w:tc>
          <w:tcPr>
            <w:tcW w:w="830" w:type="dxa"/>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0</w:t>
            </w:r>
          </w:p>
        </w:tc>
        <w:tc>
          <w:tcPr>
            <w:tcW w:w="830" w:type="dxa"/>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0</w:t>
            </w:r>
          </w:p>
        </w:tc>
        <w:tc>
          <w:tcPr>
            <w:tcW w:w="919" w:type="dxa"/>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3</w:t>
            </w:r>
          </w:p>
        </w:tc>
        <w:tc>
          <w:tcPr>
            <w:tcW w:w="943" w:type="dxa"/>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0</w:t>
            </w:r>
          </w:p>
        </w:tc>
        <w:tc>
          <w:tcPr>
            <w:tcW w:w="913" w:type="dxa"/>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0</w:t>
            </w:r>
          </w:p>
        </w:tc>
        <w:tc>
          <w:tcPr>
            <w:tcW w:w="943" w:type="dxa"/>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1</w:t>
            </w:r>
          </w:p>
        </w:tc>
      </w:tr>
      <w:tr w:rsidR="00721A26" w:rsidTr="00D90670">
        <w:trPr>
          <w:trHeight w:val="298"/>
          <w:jc w:val="center"/>
        </w:trPr>
        <w:tc>
          <w:tcPr>
            <w:tcW w:w="581" w:type="dxa"/>
            <w:vAlign w:val="center"/>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hint="eastAsia"/>
                <w:color w:val="000000"/>
                <w:sz w:val="18"/>
                <w:szCs w:val="18"/>
              </w:rPr>
              <w:t>计科</w:t>
            </w:r>
          </w:p>
        </w:tc>
        <w:tc>
          <w:tcPr>
            <w:tcW w:w="806" w:type="dxa"/>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268</w:t>
            </w:r>
          </w:p>
        </w:tc>
        <w:tc>
          <w:tcPr>
            <w:tcW w:w="854" w:type="dxa"/>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121</w:t>
            </w:r>
          </w:p>
        </w:tc>
        <w:tc>
          <w:tcPr>
            <w:tcW w:w="942" w:type="dxa"/>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45.15%</w:t>
            </w:r>
          </w:p>
        </w:tc>
        <w:tc>
          <w:tcPr>
            <w:tcW w:w="830" w:type="dxa"/>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13</w:t>
            </w:r>
          </w:p>
        </w:tc>
        <w:tc>
          <w:tcPr>
            <w:tcW w:w="830" w:type="dxa"/>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9</w:t>
            </w:r>
          </w:p>
        </w:tc>
        <w:tc>
          <w:tcPr>
            <w:tcW w:w="919" w:type="dxa"/>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38</w:t>
            </w:r>
          </w:p>
        </w:tc>
        <w:tc>
          <w:tcPr>
            <w:tcW w:w="943" w:type="dxa"/>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6</w:t>
            </w:r>
          </w:p>
        </w:tc>
        <w:tc>
          <w:tcPr>
            <w:tcW w:w="913" w:type="dxa"/>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21</w:t>
            </w:r>
          </w:p>
        </w:tc>
        <w:tc>
          <w:tcPr>
            <w:tcW w:w="943" w:type="dxa"/>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34</w:t>
            </w:r>
          </w:p>
        </w:tc>
      </w:tr>
      <w:tr w:rsidR="00721A26" w:rsidTr="00D90670">
        <w:trPr>
          <w:trHeight w:val="298"/>
          <w:jc w:val="center"/>
        </w:trPr>
        <w:tc>
          <w:tcPr>
            <w:tcW w:w="581" w:type="dxa"/>
            <w:vAlign w:val="center"/>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hint="eastAsia"/>
                <w:color w:val="000000"/>
                <w:sz w:val="18"/>
                <w:szCs w:val="18"/>
              </w:rPr>
              <w:t>数统</w:t>
            </w:r>
          </w:p>
        </w:tc>
        <w:tc>
          <w:tcPr>
            <w:tcW w:w="806" w:type="dxa"/>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109</w:t>
            </w:r>
          </w:p>
        </w:tc>
        <w:tc>
          <w:tcPr>
            <w:tcW w:w="854" w:type="dxa"/>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68</w:t>
            </w:r>
          </w:p>
        </w:tc>
        <w:tc>
          <w:tcPr>
            <w:tcW w:w="942" w:type="dxa"/>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62.39%</w:t>
            </w:r>
          </w:p>
        </w:tc>
        <w:tc>
          <w:tcPr>
            <w:tcW w:w="830" w:type="dxa"/>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4</w:t>
            </w:r>
          </w:p>
        </w:tc>
        <w:tc>
          <w:tcPr>
            <w:tcW w:w="830" w:type="dxa"/>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5</w:t>
            </w:r>
          </w:p>
        </w:tc>
        <w:tc>
          <w:tcPr>
            <w:tcW w:w="919" w:type="dxa"/>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9</w:t>
            </w:r>
          </w:p>
        </w:tc>
        <w:tc>
          <w:tcPr>
            <w:tcW w:w="943" w:type="dxa"/>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10</w:t>
            </w:r>
          </w:p>
        </w:tc>
        <w:tc>
          <w:tcPr>
            <w:tcW w:w="913" w:type="dxa"/>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27</w:t>
            </w:r>
          </w:p>
        </w:tc>
        <w:tc>
          <w:tcPr>
            <w:tcW w:w="943" w:type="dxa"/>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13</w:t>
            </w:r>
          </w:p>
        </w:tc>
      </w:tr>
      <w:tr w:rsidR="00721A26" w:rsidTr="00D90670">
        <w:trPr>
          <w:trHeight w:val="298"/>
          <w:jc w:val="center"/>
        </w:trPr>
        <w:tc>
          <w:tcPr>
            <w:tcW w:w="581" w:type="dxa"/>
            <w:tcBorders>
              <w:bottom w:val="single" w:sz="4" w:space="0" w:color="auto"/>
            </w:tcBorders>
            <w:vAlign w:val="center"/>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hint="eastAsia"/>
                <w:color w:val="000000"/>
                <w:sz w:val="18"/>
                <w:szCs w:val="18"/>
              </w:rPr>
              <w:t>电信</w:t>
            </w:r>
          </w:p>
        </w:tc>
        <w:tc>
          <w:tcPr>
            <w:tcW w:w="806" w:type="dxa"/>
            <w:tcBorders>
              <w:bottom w:val="single" w:sz="4" w:space="0" w:color="auto"/>
            </w:tcBorders>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287</w:t>
            </w:r>
          </w:p>
        </w:tc>
        <w:tc>
          <w:tcPr>
            <w:tcW w:w="854" w:type="dxa"/>
            <w:tcBorders>
              <w:bottom w:val="single" w:sz="4" w:space="0" w:color="auto"/>
            </w:tcBorders>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178</w:t>
            </w:r>
          </w:p>
        </w:tc>
        <w:tc>
          <w:tcPr>
            <w:tcW w:w="942" w:type="dxa"/>
            <w:tcBorders>
              <w:bottom w:val="single" w:sz="4" w:space="0" w:color="auto"/>
            </w:tcBorders>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62.02%</w:t>
            </w:r>
          </w:p>
        </w:tc>
        <w:tc>
          <w:tcPr>
            <w:tcW w:w="830" w:type="dxa"/>
            <w:tcBorders>
              <w:bottom w:val="single" w:sz="4" w:space="0" w:color="auto"/>
            </w:tcBorders>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32</w:t>
            </w:r>
          </w:p>
        </w:tc>
        <w:tc>
          <w:tcPr>
            <w:tcW w:w="830" w:type="dxa"/>
            <w:tcBorders>
              <w:bottom w:val="single" w:sz="4" w:space="0" w:color="auto"/>
            </w:tcBorders>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15</w:t>
            </w:r>
          </w:p>
        </w:tc>
        <w:tc>
          <w:tcPr>
            <w:tcW w:w="919" w:type="dxa"/>
            <w:tcBorders>
              <w:bottom w:val="single" w:sz="4" w:space="0" w:color="auto"/>
            </w:tcBorders>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27</w:t>
            </w:r>
          </w:p>
        </w:tc>
        <w:tc>
          <w:tcPr>
            <w:tcW w:w="943" w:type="dxa"/>
            <w:tcBorders>
              <w:bottom w:val="single" w:sz="4" w:space="0" w:color="auto"/>
            </w:tcBorders>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13</w:t>
            </w:r>
          </w:p>
        </w:tc>
        <w:tc>
          <w:tcPr>
            <w:tcW w:w="913" w:type="dxa"/>
            <w:tcBorders>
              <w:bottom w:val="single" w:sz="4" w:space="0" w:color="auto"/>
            </w:tcBorders>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41</w:t>
            </w:r>
          </w:p>
        </w:tc>
        <w:tc>
          <w:tcPr>
            <w:tcW w:w="943" w:type="dxa"/>
            <w:tcBorders>
              <w:bottom w:val="single" w:sz="4" w:space="0" w:color="auto"/>
            </w:tcBorders>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50</w:t>
            </w:r>
          </w:p>
        </w:tc>
      </w:tr>
      <w:tr w:rsidR="00721A26" w:rsidTr="00D90670">
        <w:trPr>
          <w:trHeight w:val="298"/>
          <w:jc w:val="center"/>
        </w:trPr>
        <w:tc>
          <w:tcPr>
            <w:tcW w:w="581" w:type="dxa"/>
            <w:shd w:val="clear" w:color="000000" w:fill="auto"/>
            <w:vAlign w:val="center"/>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hint="eastAsia"/>
                <w:color w:val="000000"/>
                <w:sz w:val="18"/>
                <w:szCs w:val="18"/>
              </w:rPr>
              <w:t>生医</w:t>
            </w:r>
          </w:p>
        </w:tc>
        <w:tc>
          <w:tcPr>
            <w:tcW w:w="806" w:type="dxa"/>
            <w:shd w:val="clear" w:color="000000" w:fill="auto"/>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179</w:t>
            </w:r>
          </w:p>
        </w:tc>
        <w:tc>
          <w:tcPr>
            <w:tcW w:w="854" w:type="dxa"/>
            <w:shd w:val="clear" w:color="000000" w:fill="auto"/>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105</w:t>
            </w:r>
          </w:p>
        </w:tc>
        <w:tc>
          <w:tcPr>
            <w:tcW w:w="942" w:type="dxa"/>
            <w:shd w:val="clear" w:color="000000" w:fill="auto"/>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58.66%</w:t>
            </w:r>
          </w:p>
        </w:tc>
        <w:tc>
          <w:tcPr>
            <w:tcW w:w="830" w:type="dxa"/>
            <w:shd w:val="clear" w:color="000000" w:fill="auto"/>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19</w:t>
            </w:r>
          </w:p>
        </w:tc>
        <w:tc>
          <w:tcPr>
            <w:tcW w:w="830" w:type="dxa"/>
            <w:shd w:val="clear" w:color="000000" w:fill="auto"/>
          </w:tcPr>
          <w:p w:rsidR="00721A26" w:rsidRDefault="00721A26" w:rsidP="00D90670">
            <w:pPr>
              <w:jc w:val="center"/>
              <w:rPr>
                <w:rFonts w:ascii="宋体" w:eastAsia="宋体" w:hAnsi="宋体" w:cs="Times New Roman"/>
                <w:color w:val="000000"/>
                <w:sz w:val="18"/>
                <w:szCs w:val="18"/>
              </w:rPr>
            </w:pPr>
          </w:p>
        </w:tc>
        <w:tc>
          <w:tcPr>
            <w:tcW w:w="919" w:type="dxa"/>
            <w:shd w:val="clear" w:color="000000" w:fill="auto"/>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15</w:t>
            </w:r>
          </w:p>
        </w:tc>
        <w:tc>
          <w:tcPr>
            <w:tcW w:w="943" w:type="dxa"/>
            <w:shd w:val="clear" w:color="000000" w:fill="auto"/>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23</w:t>
            </w:r>
          </w:p>
        </w:tc>
        <w:tc>
          <w:tcPr>
            <w:tcW w:w="913" w:type="dxa"/>
            <w:shd w:val="clear" w:color="000000" w:fill="auto"/>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31</w:t>
            </w:r>
          </w:p>
        </w:tc>
        <w:tc>
          <w:tcPr>
            <w:tcW w:w="943" w:type="dxa"/>
            <w:shd w:val="clear" w:color="000000" w:fill="auto"/>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17</w:t>
            </w:r>
          </w:p>
        </w:tc>
      </w:tr>
      <w:tr w:rsidR="00721A26" w:rsidTr="00D90670">
        <w:trPr>
          <w:trHeight w:val="298"/>
          <w:jc w:val="center"/>
        </w:trPr>
        <w:tc>
          <w:tcPr>
            <w:tcW w:w="581" w:type="dxa"/>
            <w:vAlign w:val="center"/>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hint="eastAsia"/>
                <w:color w:val="000000"/>
                <w:sz w:val="18"/>
                <w:szCs w:val="18"/>
              </w:rPr>
              <w:t>化材</w:t>
            </w:r>
          </w:p>
        </w:tc>
        <w:tc>
          <w:tcPr>
            <w:tcW w:w="806" w:type="dxa"/>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131</w:t>
            </w:r>
          </w:p>
        </w:tc>
        <w:tc>
          <w:tcPr>
            <w:tcW w:w="854" w:type="dxa"/>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102</w:t>
            </w:r>
          </w:p>
        </w:tc>
        <w:tc>
          <w:tcPr>
            <w:tcW w:w="942" w:type="dxa"/>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77.86%</w:t>
            </w:r>
          </w:p>
        </w:tc>
        <w:tc>
          <w:tcPr>
            <w:tcW w:w="830" w:type="dxa"/>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5</w:t>
            </w:r>
          </w:p>
        </w:tc>
        <w:tc>
          <w:tcPr>
            <w:tcW w:w="830" w:type="dxa"/>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7</w:t>
            </w:r>
          </w:p>
        </w:tc>
        <w:tc>
          <w:tcPr>
            <w:tcW w:w="919" w:type="dxa"/>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9</w:t>
            </w:r>
          </w:p>
        </w:tc>
        <w:tc>
          <w:tcPr>
            <w:tcW w:w="943" w:type="dxa"/>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31</w:t>
            </w:r>
          </w:p>
        </w:tc>
        <w:tc>
          <w:tcPr>
            <w:tcW w:w="913" w:type="dxa"/>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16</w:t>
            </w:r>
          </w:p>
        </w:tc>
        <w:tc>
          <w:tcPr>
            <w:tcW w:w="943" w:type="dxa"/>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34</w:t>
            </w:r>
          </w:p>
        </w:tc>
      </w:tr>
      <w:tr w:rsidR="00721A26" w:rsidTr="00D90670">
        <w:trPr>
          <w:trHeight w:val="298"/>
          <w:jc w:val="center"/>
        </w:trPr>
        <w:tc>
          <w:tcPr>
            <w:tcW w:w="581" w:type="dxa"/>
            <w:vAlign w:val="center"/>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hint="eastAsia"/>
                <w:color w:val="000000"/>
                <w:sz w:val="18"/>
                <w:szCs w:val="18"/>
              </w:rPr>
              <w:t>资环</w:t>
            </w:r>
          </w:p>
        </w:tc>
        <w:tc>
          <w:tcPr>
            <w:tcW w:w="806" w:type="dxa"/>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67</w:t>
            </w:r>
          </w:p>
        </w:tc>
        <w:tc>
          <w:tcPr>
            <w:tcW w:w="854" w:type="dxa"/>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46</w:t>
            </w:r>
          </w:p>
        </w:tc>
        <w:tc>
          <w:tcPr>
            <w:tcW w:w="942" w:type="dxa"/>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68.66%</w:t>
            </w:r>
          </w:p>
        </w:tc>
        <w:tc>
          <w:tcPr>
            <w:tcW w:w="830" w:type="dxa"/>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1</w:t>
            </w:r>
          </w:p>
        </w:tc>
        <w:tc>
          <w:tcPr>
            <w:tcW w:w="830" w:type="dxa"/>
          </w:tcPr>
          <w:p w:rsidR="00721A26" w:rsidRDefault="00721A26" w:rsidP="00D90670">
            <w:pPr>
              <w:jc w:val="center"/>
              <w:rPr>
                <w:rFonts w:ascii="宋体" w:eastAsia="宋体" w:hAnsi="宋体" w:cs="Times New Roman"/>
                <w:color w:val="000000"/>
                <w:sz w:val="18"/>
                <w:szCs w:val="18"/>
              </w:rPr>
            </w:pPr>
          </w:p>
        </w:tc>
        <w:tc>
          <w:tcPr>
            <w:tcW w:w="919" w:type="dxa"/>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4</w:t>
            </w:r>
          </w:p>
        </w:tc>
        <w:tc>
          <w:tcPr>
            <w:tcW w:w="943" w:type="dxa"/>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8</w:t>
            </w:r>
          </w:p>
        </w:tc>
        <w:tc>
          <w:tcPr>
            <w:tcW w:w="913" w:type="dxa"/>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14</w:t>
            </w:r>
          </w:p>
        </w:tc>
        <w:tc>
          <w:tcPr>
            <w:tcW w:w="943" w:type="dxa"/>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19</w:t>
            </w:r>
          </w:p>
        </w:tc>
      </w:tr>
      <w:tr w:rsidR="00721A26" w:rsidTr="00D90670">
        <w:trPr>
          <w:trHeight w:val="298"/>
          <w:jc w:val="center"/>
        </w:trPr>
        <w:tc>
          <w:tcPr>
            <w:tcW w:w="581" w:type="dxa"/>
            <w:vAlign w:val="center"/>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hint="eastAsia"/>
                <w:color w:val="000000"/>
                <w:sz w:val="18"/>
                <w:szCs w:val="18"/>
              </w:rPr>
              <w:lastRenderedPageBreak/>
              <w:t>生科</w:t>
            </w:r>
          </w:p>
        </w:tc>
        <w:tc>
          <w:tcPr>
            <w:tcW w:w="806" w:type="dxa"/>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109</w:t>
            </w:r>
          </w:p>
        </w:tc>
        <w:tc>
          <w:tcPr>
            <w:tcW w:w="854" w:type="dxa"/>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63</w:t>
            </w:r>
          </w:p>
        </w:tc>
        <w:tc>
          <w:tcPr>
            <w:tcW w:w="942" w:type="dxa"/>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57.80%</w:t>
            </w:r>
          </w:p>
        </w:tc>
        <w:tc>
          <w:tcPr>
            <w:tcW w:w="830" w:type="dxa"/>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11</w:t>
            </w:r>
          </w:p>
        </w:tc>
        <w:tc>
          <w:tcPr>
            <w:tcW w:w="830" w:type="dxa"/>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3</w:t>
            </w:r>
          </w:p>
        </w:tc>
        <w:tc>
          <w:tcPr>
            <w:tcW w:w="919" w:type="dxa"/>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8</w:t>
            </w:r>
          </w:p>
        </w:tc>
        <w:tc>
          <w:tcPr>
            <w:tcW w:w="943" w:type="dxa"/>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11</w:t>
            </w:r>
          </w:p>
        </w:tc>
        <w:tc>
          <w:tcPr>
            <w:tcW w:w="913" w:type="dxa"/>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14</w:t>
            </w:r>
          </w:p>
        </w:tc>
        <w:tc>
          <w:tcPr>
            <w:tcW w:w="943" w:type="dxa"/>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16</w:t>
            </w:r>
          </w:p>
        </w:tc>
      </w:tr>
      <w:tr w:rsidR="00721A26" w:rsidTr="00D90670">
        <w:trPr>
          <w:trHeight w:val="298"/>
          <w:jc w:val="center"/>
        </w:trPr>
        <w:tc>
          <w:tcPr>
            <w:tcW w:w="581" w:type="dxa"/>
            <w:vAlign w:val="center"/>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hint="eastAsia"/>
                <w:color w:val="000000"/>
                <w:sz w:val="18"/>
                <w:szCs w:val="18"/>
              </w:rPr>
              <w:t>药院</w:t>
            </w:r>
          </w:p>
        </w:tc>
        <w:tc>
          <w:tcPr>
            <w:tcW w:w="806" w:type="dxa"/>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186</w:t>
            </w:r>
          </w:p>
        </w:tc>
        <w:tc>
          <w:tcPr>
            <w:tcW w:w="854" w:type="dxa"/>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128</w:t>
            </w:r>
          </w:p>
        </w:tc>
        <w:tc>
          <w:tcPr>
            <w:tcW w:w="942" w:type="dxa"/>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68.82%</w:t>
            </w:r>
          </w:p>
        </w:tc>
        <w:tc>
          <w:tcPr>
            <w:tcW w:w="830" w:type="dxa"/>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5</w:t>
            </w:r>
          </w:p>
        </w:tc>
        <w:tc>
          <w:tcPr>
            <w:tcW w:w="830" w:type="dxa"/>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6</w:t>
            </w:r>
          </w:p>
        </w:tc>
        <w:tc>
          <w:tcPr>
            <w:tcW w:w="919" w:type="dxa"/>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16</w:t>
            </w:r>
          </w:p>
        </w:tc>
        <w:tc>
          <w:tcPr>
            <w:tcW w:w="943" w:type="dxa"/>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25</w:t>
            </w:r>
          </w:p>
        </w:tc>
        <w:tc>
          <w:tcPr>
            <w:tcW w:w="913" w:type="dxa"/>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27</w:t>
            </w:r>
          </w:p>
        </w:tc>
        <w:tc>
          <w:tcPr>
            <w:tcW w:w="943" w:type="dxa"/>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49</w:t>
            </w:r>
          </w:p>
        </w:tc>
      </w:tr>
      <w:tr w:rsidR="00721A26" w:rsidTr="00D90670">
        <w:trPr>
          <w:trHeight w:val="298"/>
          <w:jc w:val="center"/>
        </w:trPr>
        <w:tc>
          <w:tcPr>
            <w:tcW w:w="581" w:type="dxa"/>
            <w:vAlign w:val="center"/>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hint="eastAsia"/>
                <w:color w:val="000000"/>
                <w:sz w:val="18"/>
                <w:szCs w:val="18"/>
              </w:rPr>
              <w:t>体育</w:t>
            </w:r>
          </w:p>
        </w:tc>
        <w:tc>
          <w:tcPr>
            <w:tcW w:w="806" w:type="dxa"/>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15</w:t>
            </w:r>
          </w:p>
        </w:tc>
        <w:tc>
          <w:tcPr>
            <w:tcW w:w="854" w:type="dxa"/>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2</w:t>
            </w:r>
          </w:p>
        </w:tc>
        <w:tc>
          <w:tcPr>
            <w:tcW w:w="942" w:type="dxa"/>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13.33%</w:t>
            </w:r>
          </w:p>
        </w:tc>
        <w:tc>
          <w:tcPr>
            <w:tcW w:w="830" w:type="dxa"/>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0</w:t>
            </w:r>
          </w:p>
        </w:tc>
        <w:tc>
          <w:tcPr>
            <w:tcW w:w="830" w:type="dxa"/>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0</w:t>
            </w:r>
          </w:p>
        </w:tc>
        <w:tc>
          <w:tcPr>
            <w:tcW w:w="919" w:type="dxa"/>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0</w:t>
            </w:r>
          </w:p>
        </w:tc>
        <w:tc>
          <w:tcPr>
            <w:tcW w:w="943" w:type="dxa"/>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0</w:t>
            </w:r>
          </w:p>
        </w:tc>
        <w:tc>
          <w:tcPr>
            <w:tcW w:w="913" w:type="dxa"/>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1</w:t>
            </w:r>
          </w:p>
        </w:tc>
        <w:tc>
          <w:tcPr>
            <w:tcW w:w="943" w:type="dxa"/>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1</w:t>
            </w:r>
          </w:p>
        </w:tc>
      </w:tr>
      <w:tr w:rsidR="00721A26" w:rsidTr="00D90670">
        <w:trPr>
          <w:trHeight w:val="298"/>
          <w:jc w:val="center"/>
        </w:trPr>
        <w:tc>
          <w:tcPr>
            <w:tcW w:w="581" w:type="dxa"/>
            <w:tcBorders>
              <w:bottom w:val="single" w:sz="4" w:space="0" w:color="auto"/>
            </w:tcBorders>
            <w:vAlign w:val="center"/>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hint="eastAsia"/>
                <w:color w:val="000000"/>
                <w:sz w:val="18"/>
                <w:szCs w:val="18"/>
              </w:rPr>
              <w:t>音舞</w:t>
            </w:r>
          </w:p>
        </w:tc>
        <w:tc>
          <w:tcPr>
            <w:tcW w:w="806" w:type="dxa"/>
            <w:tcBorders>
              <w:bottom w:val="single" w:sz="4" w:space="0" w:color="auto"/>
            </w:tcBorders>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11</w:t>
            </w:r>
          </w:p>
        </w:tc>
        <w:tc>
          <w:tcPr>
            <w:tcW w:w="854" w:type="dxa"/>
            <w:tcBorders>
              <w:bottom w:val="single" w:sz="4" w:space="0" w:color="auto"/>
            </w:tcBorders>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6</w:t>
            </w:r>
          </w:p>
        </w:tc>
        <w:tc>
          <w:tcPr>
            <w:tcW w:w="942" w:type="dxa"/>
            <w:tcBorders>
              <w:bottom w:val="single" w:sz="4" w:space="0" w:color="auto"/>
            </w:tcBorders>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54.55%</w:t>
            </w:r>
          </w:p>
        </w:tc>
        <w:tc>
          <w:tcPr>
            <w:tcW w:w="830" w:type="dxa"/>
            <w:tcBorders>
              <w:bottom w:val="single" w:sz="4" w:space="0" w:color="auto"/>
            </w:tcBorders>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1</w:t>
            </w:r>
          </w:p>
        </w:tc>
        <w:tc>
          <w:tcPr>
            <w:tcW w:w="830" w:type="dxa"/>
            <w:tcBorders>
              <w:bottom w:val="single" w:sz="4" w:space="0" w:color="auto"/>
            </w:tcBorders>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0</w:t>
            </w:r>
          </w:p>
        </w:tc>
        <w:tc>
          <w:tcPr>
            <w:tcW w:w="919" w:type="dxa"/>
            <w:tcBorders>
              <w:bottom w:val="single" w:sz="4" w:space="0" w:color="auto"/>
            </w:tcBorders>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0</w:t>
            </w:r>
          </w:p>
        </w:tc>
        <w:tc>
          <w:tcPr>
            <w:tcW w:w="943" w:type="dxa"/>
            <w:tcBorders>
              <w:bottom w:val="single" w:sz="4" w:space="0" w:color="auto"/>
            </w:tcBorders>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1</w:t>
            </w:r>
          </w:p>
        </w:tc>
        <w:tc>
          <w:tcPr>
            <w:tcW w:w="913" w:type="dxa"/>
            <w:tcBorders>
              <w:bottom w:val="single" w:sz="4" w:space="0" w:color="auto"/>
            </w:tcBorders>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0</w:t>
            </w:r>
          </w:p>
        </w:tc>
        <w:tc>
          <w:tcPr>
            <w:tcW w:w="943" w:type="dxa"/>
            <w:tcBorders>
              <w:bottom w:val="single" w:sz="4" w:space="0" w:color="auto"/>
            </w:tcBorders>
          </w:tcPr>
          <w:p w:rsidR="00721A26" w:rsidRDefault="00721A26" w:rsidP="00D90670">
            <w:pPr>
              <w:jc w:val="center"/>
              <w:rPr>
                <w:rFonts w:ascii="宋体" w:eastAsia="宋体" w:hAnsi="宋体" w:cs="Times New Roman"/>
                <w:color w:val="000000"/>
                <w:sz w:val="18"/>
                <w:szCs w:val="18"/>
              </w:rPr>
            </w:pPr>
            <w:r>
              <w:rPr>
                <w:rFonts w:ascii="宋体" w:eastAsia="宋体" w:hAnsi="宋体" w:cs="Times New Roman"/>
                <w:color w:val="000000"/>
                <w:sz w:val="18"/>
                <w:szCs w:val="18"/>
              </w:rPr>
              <w:t>4</w:t>
            </w:r>
          </w:p>
        </w:tc>
      </w:tr>
      <w:tr w:rsidR="00721A26" w:rsidTr="00D90670">
        <w:trPr>
          <w:trHeight w:val="298"/>
          <w:jc w:val="center"/>
        </w:trPr>
        <w:tc>
          <w:tcPr>
            <w:tcW w:w="581" w:type="dxa"/>
            <w:shd w:val="clear" w:color="auto" w:fill="C6D9F0"/>
            <w:vAlign w:val="center"/>
          </w:tcPr>
          <w:p w:rsidR="00721A26" w:rsidRDefault="00721A26" w:rsidP="00D90670">
            <w:pPr>
              <w:jc w:val="center"/>
              <w:rPr>
                <w:rFonts w:ascii="宋体" w:eastAsia="宋体" w:hAnsi="宋体" w:cs="Times New Roman"/>
                <w:b/>
                <w:color w:val="000000"/>
                <w:sz w:val="18"/>
                <w:szCs w:val="18"/>
              </w:rPr>
            </w:pPr>
            <w:r>
              <w:rPr>
                <w:rFonts w:ascii="宋体" w:eastAsia="宋体" w:hAnsi="宋体" w:cs="Times New Roman" w:hint="eastAsia"/>
                <w:b/>
                <w:color w:val="000000"/>
                <w:sz w:val="18"/>
                <w:szCs w:val="18"/>
              </w:rPr>
              <w:t>总计</w:t>
            </w:r>
          </w:p>
        </w:tc>
        <w:tc>
          <w:tcPr>
            <w:tcW w:w="806" w:type="dxa"/>
            <w:shd w:val="clear" w:color="auto" w:fill="C6D9F0"/>
            <w:vAlign w:val="center"/>
          </w:tcPr>
          <w:p w:rsidR="00721A26" w:rsidRDefault="00721A26" w:rsidP="00D90670">
            <w:pPr>
              <w:jc w:val="center"/>
              <w:rPr>
                <w:rFonts w:ascii="宋体" w:eastAsia="宋体" w:hAnsi="宋体" w:cs="Times New Roman"/>
                <w:b/>
                <w:color w:val="000000"/>
                <w:sz w:val="18"/>
                <w:szCs w:val="18"/>
              </w:rPr>
            </w:pPr>
            <w:r>
              <w:rPr>
                <w:rFonts w:ascii="宋体" w:eastAsia="宋体" w:hAnsi="宋体" w:cs="Times New Roman"/>
                <w:b/>
                <w:color w:val="000000"/>
                <w:sz w:val="18"/>
                <w:szCs w:val="18"/>
              </w:rPr>
              <w:t>2057</w:t>
            </w:r>
          </w:p>
        </w:tc>
        <w:tc>
          <w:tcPr>
            <w:tcW w:w="854" w:type="dxa"/>
            <w:shd w:val="clear" w:color="auto" w:fill="C6D9F0"/>
          </w:tcPr>
          <w:p w:rsidR="00721A26" w:rsidRDefault="00721A26" w:rsidP="00D90670">
            <w:pPr>
              <w:jc w:val="center"/>
              <w:rPr>
                <w:rFonts w:ascii="宋体" w:eastAsia="宋体" w:hAnsi="宋体" w:cs="Times New Roman"/>
                <w:b/>
                <w:color w:val="000000"/>
                <w:sz w:val="18"/>
                <w:szCs w:val="18"/>
              </w:rPr>
            </w:pPr>
            <w:r>
              <w:rPr>
                <w:rFonts w:ascii="宋体" w:eastAsia="宋体" w:hAnsi="宋体" w:cs="Times New Roman"/>
                <w:b/>
                <w:color w:val="000000"/>
                <w:sz w:val="18"/>
                <w:szCs w:val="18"/>
              </w:rPr>
              <w:t>1154</w:t>
            </w:r>
          </w:p>
        </w:tc>
        <w:tc>
          <w:tcPr>
            <w:tcW w:w="942" w:type="dxa"/>
            <w:shd w:val="clear" w:color="auto" w:fill="C6D9F0"/>
          </w:tcPr>
          <w:p w:rsidR="00721A26" w:rsidRDefault="00721A26" w:rsidP="00D90670">
            <w:pPr>
              <w:jc w:val="center"/>
              <w:rPr>
                <w:rFonts w:ascii="宋体" w:eastAsia="宋体" w:hAnsi="宋体" w:cs="Times New Roman"/>
                <w:b/>
                <w:color w:val="000000"/>
                <w:sz w:val="18"/>
                <w:szCs w:val="18"/>
              </w:rPr>
            </w:pPr>
            <w:r>
              <w:rPr>
                <w:rFonts w:ascii="宋体" w:eastAsia="宋体" w:hAnsi="宋体" w:cs="Times New Roman"/>
                <w:b/>
                <w:color w:val="000000"/>
                <w:sz w:val="18"/>
                <w:szCs w:val="18"/>
              </w:rPr>
              <w:t>56.10%</w:t>
            </w:r>
          </w:p>
        </w:tc>
        <w:tc>
          <w:tcPr>
            <w:tcW w:w="830" w:type="dxa"/>
            <w:shd w:val="clear" w:color="auto" w:fill="C6D9F0"/>
          </w:tcPr>
          <w:p w:rsidR="00721A26" w:rsidRDefault="00721A26" w:rsidP="00D90670">
            <w:pPr>
              <w:jc w:val="center"/>
              <w:rPr>
                <w:rFonts w:ascii="宋体" w:eastAsia="宋体" w:hAnsi="宋体" w:cs="Times New Roman"/>
                <w:b/>
                <w:color w:val="000000"/>
                <w:sz w:val="18"/>
                <w:szCs w:val="18"/>
              </w:rPr>
            </w:pPr>
            <w:r>
              <w:rPr>
                <w:rFonts w:ascii="宋体" w:eastAsia="宋体" w:hAnsi="宋体" w:cs="Times New Roman"/>
                <w:b/>
                <w:color w:val="000000"/>
                <w:sz w:val="18"/>
                <w:szCs w:val="18"/>
              </w:rPr>
              <w:t>109</w:t>
            </w:r>
          </w:p>
        </w:tc>
        <w:tc>
          <w:tcPr>
            <w:tcW w:w="830" w:type="dxa"/>
            <w:shd w:val="clear" w:color="auto" w:fill="C6D9F0"/>
          </w:tcPr>
          <w:p w:rsidR="00721A26" w:rsidRDefault="00721A26" w:rsidP="00D90670">
            <w:pPr>
              <w:jc w:val="center"/>
              <w:rPr>
                <w:rFonts w:ascii="宋体" w:eastAsia="宋体" w:hAnsi="宋体" w:cs="Times New Roman"/>
                <w:b/>
                <w:color w:val="000000"/>
                <w:sz w:val="18"/>
                <w:szCs w:val="18"/>
              </w:rPr>
            </w:pPr>
            <w:r>
              <w:rPr>
                <w:rFonts w:ascii="宋体" w:eastAsia="宋体" w:hAnsi="宋体" w:cs="Times New Roman"/>
                <w:b/>
                <w:color w:val="000000"/>
                <w:sz w:val="18"/>
                <w:szCs w:val="18"/>
              </w:rPr>
              <w:t>61</w:t>
            </w:r>
          </w:p>
        </w:tc>
        <w:tc>
          <w:tcPr>
            <w:tcW w:w="919" w:type="dxa"/>
            <w:shd w:val="clear" w:color="auto" w:fill="C6D9F0"/>
          </w:tcPr>
          <w:p w:rsidR="00721A26" w:rsidRDefault="00721A26" w:rsidP="00D90670">
            <w:pPr>
              <w:jc w:val="center"/>
              <w:rPr>
                <w:rFonts w:ascii="宋体" w:eastAsia="宋体" w:hAnsi="宋体" w:cs="Times New Roman"/>
                <w:b/>
                <w:color w:val="000000"/>
                <w:sz w:val="18"/>
                <w:szCs w:val="18"/>
              </w:rPr>
            </w:pPr>
            <w:r>
              <w:rPr>
                <w:rFonts w:ascii="宋体" w:eastAsia="宋体" w:hAnsi="宋体" w:cs="Times New Roman"/>
                <w:b/>
                <w:color w:val="000000"/>
                <w:sz w:val="18"/>
                <w:szCs w:val="18"/>
              </w:rPr>
              <w:t>156</w:t>
            </w:r>
          </w:p>
        </w:tc>
        <w:tc>
          <w:tcPr>
            <w:tcW w:w="943" w:type="dxa"/>
            <w:shd w:val="clear" w:color="auto" w:fill="C6D9F0"/>
          </w:tcPr>
          <w:p w:rsidR="00721A26" w:rsidRDefault="00721A26" w:rsidP="00D90670">
            <w:pPr>
              <w:jc w:val="center"/>
              <w:rPr>
                <w:rFonts w:ascii="宋体" w:eastAsia="宋体" w:hAnsi="宋体" w:cs="Times New Roman"/>
                <w:b/>
                <w:color w:val="000000"/>
                <w:sz w:val="18"/>
                <w:szCs w:val="18"/>
              </w:rPr>
            </w:pPr>
            <w:r>
              <w:rPr>
                <w:rFonts w:ascii="宋体" w:eastAsia="宋体" w:hAnsi="宋体" w:cs="Times New Roman"/>
                <w:b/>
                <w:color w:val="000000"/>
                <w:sz w:val="18"/>
                <w:szCs w:val="18"/>
              </w:rPr>
              <w:t>157</w:t>
            </w:r>
          </w:p>
        </w:tc>
        <w:tc>
          <w:tcPr>
            <w:tcW w:w="913" w:type="dxa"/>
            <w:shd w:val="clear" w:color="auto" w:fill="C6D9F0"/>
          </w:tcPr>
          <w:p w:rsidR="00721A26" w:rsidRDefault="00721A26" w:rsidP="00D90670">
            <w:pPr>
              <w:jc w:val="center"/>
              <w:rPr>
                <w:rFonts w:ascii="宋体" w:eastAsia="宋体" w:hAnsi="宋体" w:cs="Times New Roman"/>
                <w:b/>
                <w:color w:val="000000"/>
                <w:sz w:val="18"/>
                <w:szCs w:val="18"/>
              </w:rPr>
            </w:pPr>
            <w:r>
              <w:rPr>
                <w:rFonts w:ascii="宋体" w:eastAsia="宋体" w:hAnsi="宋体" w:cs="Times New Roman"/>
                <w:b/>
                <w:color w:val="000000"/>
                <w:sz w:val="18"/>
                <w:szCs w:val="18"/>
              </w:rPr>
              <w:t>301</w:t>
            </w:r>
          </w:p>
        </w:tc>
        <w:tc>
          <w:tcPr>
            <w:tcW w:w="943" w:type="dxa"/>
            <w:shd w:val="clear" w:color="auto" w:fill="C6D9F0"/>
          </w:tcPr>
          <w:p w:rsidR="00721A26" w:rsidRDefault="00721A26" w:rsidP="00D90670">
            <w:pPr>
              <w:jc w:val="center"/>
              <w:rPr>
                <w:rFonts w:ascii="宋体" w:eastAsia="宋体" w:hAnsi="宋体" w:cs="Times New Roman"/>
                <w:b/>
                <w:color w:val="000000"/>
                <w:sz w:val="18"/>
                <w:szCs w:val="18"/>
              </w:rPr>
            </w:pPr>
            <w:r>
              <w:rPr>
                <w:rFonts w:ascii="宋体" w:eastAsia="宋体" w:hAnsi="宋体" w:cs="Times New Roman"/>
                <w:b/>
                <w:color w:val="000000"/>
                <w:sz w:val="18"/>
                <w:szCs w:val="18"/>
              </w:rPr>
              <w:t>370</w:t>
            </w:r>
          </w:p>
        </w:tc>
      </w:tr>
    </w:tbl>
    <w:p w:rsidR="00721A26" w:rsidRDefault="00721A26" w:rsidP="00721A26">
      <w:pPr>
        <w:spacing w:line="288" w:lineRule="auto"/>
        <w:rPr>
          <w:rFonts w:ascii="宋体" w:eastAsia="宋体" w:hAnsi="宋体" w:cs="Times New Roman"/>
          <w:b/>
          <w:szCs w:val="21"/>
        </w:rPr>
      </w:pPr>
    </w:p>
    <w:bookmarkEnd w:id="29"/>
    <w:bookmarkEnd w:id="30"/>
    <w:p w:rsidR="00721A26" w:rsidRDefault="00721A26" w:rsidP="00721A26">
      <w:pPr>
        <w:spacing w:line="288" w:lineRule="auto"/>
        <w:ind w:firstLineChars="200" w:firstLine="422"/>
        <w:rPr>
          <w:rFonts w:ascii="宋体" w:eastAsia="宋体" w:hAnsi="宋体" w:cs="Times New Roman"/>
          <w:b/>
          <w:szCs w:val="21"/>
        </w:rPr>
      </w:pPr>
      <w:r>
        <w:rPr>
          <w:rFonts w:ascii="宋体" w:eastAsia="宋体" w:hAnsi="宋体" w:cs="Times New Roman" w:hint="eastAsia"/>
          <w:b/>
          <w:szCs w:val="21"/>
        </w:rPr>
        <w:t>五、提升</w:t>
      </w:r>
      <w:r>
        <w:rPr>
          <w:rFonts w:ascii="宋体" w:eastAsia="宋体" w:hAnsi="宋体" w:cs="Times New Roman"/>
          <w:b/>
          <w:szCs w:val="21"/>
        </w:rPr>
        <w:t>大学生学业</w:t>
      </w:r>
      <w:r>
        <w:rPr>
          <w:rFonts w:ascii="宋体" w:eastAsia="宋体" w:hAnsi="宋体" w:cs="Times New Roman" w:hint="eastAsia"/>
          <w:b/>
          <w:szCs w:val="21"/>
        </w:rPr>
        <w:t>精准</w:t>
      </w:r>
      <w:r>
        <w:rPr>
          <w:rFonts w:ascii="宋体" w:eastAsia="宋体" w:hAnsi="宋体" w:cs="Times New Roman"/>
          <w:b/>
          <w:szCs w:val="21"/>
        </w:rPr>
        <w:t>帮扶</w:t>
      </w:r>
      <w:r>
        <w:rPr>
          <w:rFonts w:ascii="宋体" w:eastAsia="宋体" w:hAnsi="宋体" w:cs="Times New Roman" w:hint="eastAsia"/>
          <w:b/>
          <w:szCs w:val="21"/>
        </w:rPr>
        <w:t>有效性</w:t>
      </w:r>
      <w:r>
        <w:rPr>
          <w:rFonts w:ascii="宋体" w:eastAsia="宋体" w:hAnsi="宋体" w:cs="Times New Roman"/>
          <w:b/>
          <w:szCs w:val="21"/>
        </w:rPr>
        <w:t>对策与建议</w:t>
      </w:r>
    </w:p>
    <w:p w:rsidR="00721A26" w:rsidRDefault="00721A26" w:rsidP="00721A26">
      <w:pPr>
        <w:spacing w:line="288" w:lineRule="auto"/>
        <w:ind w:firstLine="420"/>
        <w:rPr>
          <w:rFonts w:ascii="宋体" w:eastAsia="宋体" w:hAnsi="宋体" w:cs="Times New Roman"/>
          <w:b/>
          <w:szCs w:val="21"/>
        </w:rPr>
      </w:pPr>
      <w:r>
        <w:rPr>
          <w:rFonts w:ascii="宋体" w:eastAsia="宋体" w:hAnsi="宋体" w:cs="Times New Roman" w:hint="eastAsia"/>
          <w:b/>
          <w:szCs w:val="21"/>
        </w:rPr>
        <w:t>（一）促进资源整合，完善学业精准</w:t>
      </w:r>
      <w:r>
        <w:rPr>
          <w:rFonts w:ascii="宋体" w:eastAsia="宋体" w:hAnsi="宋体" w:cs="Times New Roman"/>
          <w:b/>
          <w:szCs w:val="21"/>
        </w:rPr>
        <w:t>帮扶</w:t>
      </w:r>
      <w:r>
        <w:rPr>
          <w:rFonts w:ascii="宋体" w:eastAsia="宋体" w:hAnsi="宋体" w:cs="Times New Roman" w:hint="eastAsia"/>
          <w:b/>
          <w:szCs w:val="21"/>
        </w:rPr>
        <w:t>保障机制。</w:t>
      </w:r>
      <w:r>
        <w:rPr>
          <w:rFonts w:ascii="宋体" w:eastAsia="宋体" w:hAnsi="宋体" w:cs="Times New Roman" w:hint="eastAsia"/>
          <w:szCs w:val="21"/>
        </w:rPr>
        <w:t>当前学业</w:t>
      </w:r>
      <w:r>
        <w:rPr>
          <w:rFonts w:ascii="宋体" w:eastAsia="宋体" w:hAnsi="宋体" w:cs="Times New Roman"/>
          <w:szCs w:val="21"/>
        </w:rPr>
        <w:t>预警学生</w:t>
      </w:r>
      <w:r>
        <w:rPr>
          <w:rFonts w:ascii="宋体" w:eastAsia="宋体" w:hAnsi="宋体" w:cs="Times New Roman" w:hint="eastAsia"/>
          <w:szCs w:val="21"/>
        </w:rPr>
        <w:t>帮扶机制存在资源分散、信息孤岛等问题，难以形成合力，从而影响帮扶工作的开展与效率。通过整合校内外资源，构建</w:t>
      </w:r>
      <w:r>
        <w:rPr>
          <w:rFonts w:ascii="宋体" w:eastAsia="宋体" w:hAnsi="宋体" w:cs="Times New Roman"/>
          <w:szCs w:val="21"/>
        </w:rPr>
        <w:t>学业预警与帮扶</w:t>
      </w:r>
      <w:r>
        <w:rPr>
          <w:rFonts w:ascii="宋体" w:eastAsia="宋体" w:hAnsi="宋体" w:cs="Times New Roman" w:hint="eastAsia"/>
          <w:szCs w:val="21"/>
        </w:rPr>
        <w:t>平台，探索家校协同育人新机制，</w:t>
      </w:r>
      <w:r>
        <w:rPr>
          <w:rFonts w:ascii="宋体" w:eastAsia="宋体" w:hAnsi="宋体" w:cs="Times New Roman"/>
          <w:szCs w:val="21"/>
        </w:rPr>
        <w:t>以</w:t>
      </w:r>
      <w:r>
        <w:rPr>
          <w:rFonts w:ascii="宋体" w:eastAsia="宋体" w:hAnsi="宋体" w:cs="Times New Roman" w:hint="eastAsia"/>
          <w:szCs w:val="21"/>
        </w:rPr>
        <w:t>“</w:t>
      </w:r>
      <w:r>
        <w:rPr>
          <w:rFonts w:ascii="宋体" w:eastAsia="宋体" w:hAnsi="宋体" w:cs="Times New Roman"/>
          <w:szCs w:val="21"/>
        </w:rPr>
        <w:t>三全</w:t>
      </w:r>
      <w:r>
        <w:rPr>
          <w:rFonts w:ascii="宋体" w:eastAsia="宋体" w:hAnsi="宋体" w:cs="Times New Roman" w:hint="eastAsia"/>
          <w:szCs w:val="21"/>
        </w:rPr>
        <w:t>育人</w:t>
      </w:r>
      <w:r>
        <w:rPr>
          <w:rFonts w:ascii="宋体" w:eastAsia="宋体" w:hAnsi="宋体" w:cs="Times New Roman"/>
          <w:szCs w:val="21"/>
        </w:rPr>
        <w:t>”为宗旨，</w:t>
      </w:r>
      <w:r>
        <w:rPr>
          <w:rFonts w:ascii="宋体" w:eastAsia="宋体" w:hAnsi="宋体" w:cs="Times New Roman" w:hint="eastAsia"/>
          <w:szCs w:val="21"/>
        </w:rPr>
        <w:t>形成分工明确、相互协作、互动共进的帮扶体系，共筑“学困生”精准帮扶之道。学校需要制定相关政策、配给人员和资源，完善并实施教师成长服务课时及学生自愿者服务学时制度，作为学校组织的相关评优评先的必须条件。学校要打破“重科研、轻教学”，使教师回归课堂。学校学业发展中心研究制定相关措施，为学校决策提供支持，为学院需求沟通协调帮扶资源。学院学业发展分中心切实落实相关制度，对预警对象进行具体研究和分析，协同教师、家长、朋辈、社会机构等群体，开展各式主题活动，有针对性地建立和完善学业帮扶机制。</w:t>
      </w:r>
    </w:p>
    <w:p w:rsidR="00721A26" w:rsidRDefault="00721A26" w:rsidP="00721A26">
      <w:pPr>
        <w:spacing w:line="288" w:lineRule="auto"/>
        <w:ind w:firstLine="420"/>
        <w:rPr>
          <w:rFonts w:ascii="宋体" w:eastAsia="宋体" w:hAnsi="宋体" w:cs="Times New Roman"/>
          <w:szCs w:val="21"/>
        </w:rPr>
      </w:pPr>
      <w:r>
        <w:rPr>
          <w:rFonts w:ascii="宋体" w:eastAsia="宋体" w:hAnsi="宋体" w:cs="Times New Roman" w:hint="eastAsia"/>
          <w:b/>
          <w:szCs w:val="21"/>
        </w:rPr>
        <w:t>（二）坚持问题导向，实现精准识别学业问题。</w:t>
      </w:r>
      <w:r>
        <w:rPr>
          <w:rFonts w:ascii="宋体" w:eastAsia="宋体" w:hAnsi="宋体" w:cs="Times New Roman" w:hint="eastAsia"/>
          <w:szCs w:val="21"/>
        </w:rPr>
        <w:t>精准帮扶要以实际需求和解决实际问题为导向，针对高校“学困生”帮扶理念落后、机制僵化、帮扶缺乏约束与激励机制等现实问题，学院</w:t>
      </w:r>
      <w:r>
        <w:rPr>
          <w:rFonts w:ascii="宋体" w:eastAsia="宋体" w:hAnsi="宋体" w:cs="Times New Roman"/>
          <w:szCs w:val="21"/>
        </w:rPr>
        <w:t>需根据现有政策主动</w:t>
      </w:r>
      <w:r>
        <w:rPr>
          <w:rFonts w:ascii="宋体" w:eastAsia="宋体" w:hAnsi="宋体" w:cs="Times New Roman" w:hint="eastAsia"/>
          <w:szCs w:val="21"/>
        </w:rPr>
        <w:t>研究</w:t>
      </w:r>
      <w:r>
        <w:rPr>
          <w:rFonts w:ascii="宋体" w:eastAsia="宋体" w:hAnsi="宋体" w:cs="Times New Roman"/>
          <w:szCs w:val="21"/>
        </w:rPr>
        <w:t>学业符合本学院的学业预警机制</w:t>
      </w:r>
      <w:r>
        <w:rPr>
          <w:rFonts w:ascii="宋体" w:eastAsia="宋体" w:hAnsi="宋体" w:cs="Times New Roman" w:hint="eastAsia"/>
          <w:szCs w:val="21"/>
        </w:rPr>
        <w:t>。根据</w:t>
      </w:r>
      <w:r>
        <w:rPr>
          <w:rFonts w:ascii="宋体" w:eastAsia="宋体" w:hAnsi="宋体" w:cs="Times New Roman"/>
          <w:szCs w:val="21"/>
        </w:rPr>
        <w:t>专业特色，</w:t>
      </w:r>
      <w:r>
        <w:rPr>
          <w:rFonts w:ascii="宋体" w:eastAsia="宋体" w:hAnsi="宋体" w:cs="Times New Roman" w:hint="eastAsia"/>
          <w:szCs w:val="21"/>
        </w:rPr>
        <w:t>学院需研判不同学科通识课、基础课、专业课、教学实践等类型的课程的成绩或学分预警。根据学生民族成份、生源地、考勤、学籍异动、违纪行为、心理异动等自有属性信息，综合研判学生学习动力。根据学生预警状态、受帮扶经历、“第二课堂”活动数据，综合研判学业成长轨迹，适时干预，形成良性循环，促进学生成长成才。</w:t>
      </w:r>
    </w:p>
    <w:p w:rsidR="00721A26" w:rsidRDefault="00721A26" w:rsidP="00721A26">
      <w:pPr>
        <w:spacing w:line="288" w:lineRule="auto"/>
        <w:ind w:firstLine="420"/>
        <w:rPr>
          <w:rFonts w:ascii="宋体" w:eastAsia="宋体" w:hAnsi="宋体" w:cs="Times New Roman"/>
          <w:szCs w:val="21"/>
        </w:rPr>
      </w:pPr>
      <w:r>
        <w:rPr>
          <w:rFonts w:ascii="宋体" w:eastAsia="宋体" w:hAnsi="宋体" w:cs="Times New Roman" w:hint="eastAsia"/>
          <w:b/>
          <w:szCs w:val="21"/>
        </w:rPr>
        <w:t>（三）满足个性需要，创建学业预警的多个着力点和工作载体。</w:t>
      </w:r>
      <w:r>
        <w:rPr>
          <w:rFonts w:ascii="宋体" w:eastAsia="宋体" w:hAnsi="宋体" w:cs="Times New Roman" w:hint="eastAsia"/>
          <w:szCs w:val="21"/>
        </w:rPr>
        <w:t>针对大学生学业困难产生原因以及差异化帮扶需求，如何将帮扶措施精准对接帮扶对象的实际需求，做到对症下药、精准施策，加强对“学困生”的系统研究和帮扶机制的统筹谋划，实施分类管理、分类帮扶，增强“学困生”帮扶政策制定的针对性和精准性。通过对新生开展“成长训练营”，加强大学学业常识教育，帮助和引导新生顺利完成从被动学习到主动学习角色转变，适应大学生活。通过大学生涯规划教育、榜样教育、批判性思维训练等模块，引导他们顺利描绘大学生涯“蓝图”，使其进一步明确学习目的、端正学习态度、增强学习动力。建立高年级学生班级学习小组，以寝室、兴趣群体、科研团队为单位，聘请学业导师，由学生骨干带头，实行“</w:t>
      </w:r>
      <w:r>
        <w:rPr>
          <w:rFonts w:ascii="宋体" w:eastAsia="宋体" w:hAnsi="宋体" w:cs="Times New Roman"/>
          <w:szCs w:val="21"/>
        </w:rPr>
        <w:t>1＋1＋X”帮扶，帮助学业预警学生摆脱学习困境。尤其是新疆籍、藏</w:t>
      </w:r>
      <w:r>
        <w:rPr>
          <w:rFonts w:ascii="宋体" w:eastAsia="宋体" w:hAnsi="宋体" w:cs="Times New Roman" w:hint="eastAsia"/>
          <w:szCs w:val="21"/>
        </w:rPr>
        <w:t>区</w:t>
      </w:r>
      <w:r>
        <w:rPr>
          <w:rFonts w:ascii="宋体" w:eastAsia="宋体" w:hAnsi="宋体" w:cs="Times New Roman"/>
          <w:szCs w:val="21"/>
        </w:rPr>
        <w:t>学生，更加需要培育</w:t>
      </w:r>
      <w:r>
        <w:rPr>
          <w:rFonts w:ascii="宋体" w:eastAsia="宋体" w:hAnsi="宋体" w:cs="Times New Roman" w:hint="eastAsia"/>
          <w:szCs w:val="21"/>
        </w:rPr>
        <w:t>学业典型榜样</w:t>
      </w:r>
      <w:r>
        <w:rPr>
          <w:rFonts w:ascii="宋体" w:eastAsia="宋体" w:hAnsi="宋体" w:cs="Times New Roman"/>
          <w:szCs w:val="21"/>
        </w:rPr>
        <w:t>，发挥榜样的引领作用。</w:t>
      </w:r>
    </w:p>
    <w:p w:rsidR="00956885" w:rsidRDefault="00956885">
      <w:bookmarkStart w:id="34" w:name="_GoBack"/>
      <w:bookmarkEnd w:id="34"/>
    </w:p>
    <w:sectPr w:rsidR="00956885" w:rsidSect="00721A26">
      <w:footerReference w:type="default" r:id="rId19"/>
      <w:pgSz w:w="11906" w:h="16838"/>
      <w:pgMar w:top="2098" w:right="1531" w:bottom="1871"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740B" w:rsidRDefault="00D6740B" w:rsidP="00721A26">
      <w:r>
        <w:separator/>
      </w:r>
    </w:p>
  </w:endnote>
  <w:endnote w:type="continuationSeparator" w:id="0">
    <w:p w:rsidR="00D6740B" w:rsidRDefault="00D6740B" w:rsidP="00721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0171970"/>
      <w:docPartObj>
        <w:docPartGallery w:val="Page Numbers (Bottom of Page)"/>
        <w:docPartUnique/>
      </w:docPartObj>
    </w:sdtPr>
    <w:sdtContent>
      <w:p w:rsidR="00721A26" w:rsidRDefault="00721A26">
        <w:pPr>
          <w:pStyle w:val="a4"/>
          <w:jc w:val="center"/>
        </w:pPr>
        <w:r>
          <w:fldChar w:fldCharType="begin"/>
        </w:r>
        <w:r>
          <w:instrText>PAGE   \* MERGEFORMAT</w:instrText>
        </w:r>
        <w:r>
          <w:fldChar w:fldCharType="separate"/>
        </w:r>
        <w:r w:rsidRPr="00721A26">
          <w:rPr>
            <w:noProof/>
            <w:lang w:val="zh-CN"/>
          </w:rPr>
          <w:t>2</w:t>
        </w:r>
        <w:r>
          <w:fldChar w:fldCharType="end"/>
        </w:r>
      </w:p>
    </w:sdtContent>
  </w:sdt>
  <w:p w:rsidR="00721A26" w:rsidRDefault="00721A2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740B" w:rsidRDefault="00D6740B" w:rsidP="00721A26">
      <w:r>
        <w:separator/>
      </w:r>
    </w:p>
  </w:footnote>
  <w:footnote w:type="continuationSeparator" w:id="0">
    <w:p w:rsidR="00D6740B" w:rsidRDefault="00D6740B" w:rsidP="00721A26">
      <w:r>
        <w:continuationSeparator/>
      </w:r>
    </w:p>
  </w:footnote>
  <w:footnote w:id="1">
    <w:p w:rsidR="00721A26" w:rsidRDefault="00721A26" w:rsidP="00721A26">
      <w:pPr>
        <w:pStyle w:val="12"/>
        <w:rPr>
          <w:rFonts w:ascii="Times New Roman" w:hAnsi="Times New Roman"/>
        </w:rPr>
      </w:pPr>
      <w:r>
        <w:rPr>
          <w:rStyle w:val="ac"/>
        </w:rPr>
        <w:footnoteRef/>
      </w:r>
      <w:r>
        <w:t xml:space="preserve"> </w:t>
      </w:r>
      <w:r>
        <w:rPr>
          <w:rFonts w:hint="eastAsia"/>
        </w:rPr>
        <w:t>胡宝国．</w:t>
      </w:r>
      <w:r>
        <w:t>内地高校少数民族学生教育管理工作的内涵、挑战及对策分析</w:t>
      </w:r>
      <w:r>
        <w:rPr>
          <w:rFonts w:ascii="Times New Roman" w:hAnsi="Times New Roman"/>
        </w:rPr>
        <w:t>[J]</w:t>
      </w:r>
      <w:r>
        <w:rPr>
          <w:rFonts w:hint="eastAsia"/>
        </w:rPr>
        <w:t>．</w:t>
      </w:r>
      <w:r>
        <w:t>思想理论育</w:t>
      </w:r>
      <w:r>
        <w:rPr>
          <w:rFonts w:hint="eastAsia"/>
        </w:rPr>
        <w:t>，</w:t>
      </w:r>
      <w:r>
        <w:rPr>
          <w:rFonts w:ascii="Times New Roman" w:hAnsi="Times New Roman"/>
        </w:rPr>
        <w:t>2015(07):99-102</w:t>
      </w:r>
      <w:r>
        <w:rPr>
          <w:rFonts w:ascii="Times New Roman"/>
        </w:rPr>
        <w:t>．</w:t>
      </w:r>
    </w:p>
  </w:footnote>
  <w:footnote w:id="2">
    <w:p w:rsidR="00721A26" w:rsidRDefault="00721A26" w:rsidP="00721A26">
      <w:pPr>
        <w:pStyle w:val="12"/>
      </w:pPr>
      <w:r>
        <w:rPr>
          <w:rStyle w:val="ac"/>
        </w:rPr>
        <w:footnoteRef/>
      </w:r>
      <w:r>
        <w:t xml:space="preserve"> </w:t>
      </w:r>
      <w:r>
        <w:rPr>
          <w:rFonts w:hint="eastAsia"/>
        </w:rPr>
        <w:t>王志梅，</w:t>
      </w:r>
      <w:r>
        <w:t>曹冬</w:t>
      </w:r>
      <w:r>
        <w:rPr>
          <w:rFonts w:hint="eastAsia"/>
        </w:rPr>
        <w:t>，</w:t>
      </w:r>
      <w:r>
        <w:t>崔占玲</w:t>
      </w:r>
      <w:r>
        <w:rPr>
          <w:rFonts w:hint="eastAsia"/>
        </w:rPr>
        <w:t>．</w:t>
      </w:r>
      <w:r>
        <w:t>内地少数民族学生心理适应性研究现状</w:t>
      </w:r>
      <w:r>
        <w:rPr>
          <w:rFonts w:ascii="Times New Roman" w:hAnsi="Times New Roman"/>
        </w:rPr>
        <w:t>[J]</w:t>
      </w:r>
      <w:r>
        <w:rPr>
          <w:rFonts w:hint="eastAsia"/>
        </w:rPr>
        <w:t>．</w:t>
      </w:r>
      <w:r>
        <w:t>中国学校卫生</w:t>
      </w:r>
      <w:r>
        <w:rPr>
          <w:rFonts w:hint="eastAsia"/>
        </w:rPr>
        <w:t>，</w:t>
      </w:r>
      <w:r>
        <w:rPr>
          <w:rFonts w:ascii="Times New Roman" w:hAnsi="Times New Roman"/>
        </w:rPr>
        <w:t>2013</w:t>
      </w:r>
      <w:r>
        <w:rPr>
          <w:rFonts w:ascii="Times New Roman"/>
        </w:rPr>
        <w:t>，</w:t>
      </w:r>
      <w:r>
        <w:rPr>
          <w:rFonts w:ascii="Times New Roman" w:hAnsi="Times New Roman"/>
        </w:rPr>
        <w:t>34(01)</w:t>
      </w:r>
      <w:r>
        <w:rPr>
          <w:rFonts w:ascii="Times New Roman"/>
        </w:rPr>
        <w:t>：</w:t>
      </w:r>
      <w:r>
        <w:rPr>
          <w:rFonts w:ascii="Times New Roman" w:hAnsi="Times New Roman"/>
        </w:rPr>
        <w:t>127-128</w:t>
      </w:r>
      <w:r>
        <w:rPr>
          <w:rFonts w:ascii="Times New Roman"/>
        </w:rPr>
        <w:t>．</w:t>
      </w:r>
    </w:p>
  </w:footnote>
  <w:footnote w:id="3">
    <w:p w:rsidR="00721A26" w:rsidRDefault="00721A26" w:rsidP="00721A26">
      <w:pPr>
        <w:pStyle w:val="12"/>
        <w:rPr>
          <w:rFonts w:ascii="Times New Roman" w:hAnsi="Times New Roman"/>
        </w:rPr>
      </w:pPr>
      <w:r>
        <w:rPr>
          <w:rStyle w:val="ac"/>
        </w:rPr>
        <w:footnoteRef/>
      </w:r>
      <w:r>
        <w:t xml:space="preserve"> </w:t>
      </w:r>
      <w:r>
        <w:rPr>
          <w:rFonts w:hint="eastAsia"/>
        </w:rPr>
        <w:t>孙玉兰．</w:t>
      </w:r>
      <w:r>
        <w:t>少数民族大学生的智力素质特点</w:t>
      </w:r>
      <w:r>
        <w:rPr>
          <w:rFonts w:ascii="Times New Roman" w:hAnsi="Times New Roman"/>
        </w:rPr>
        <w:t>[J]</w:t>
      </w:r>
      <w:r>
        <w:rPr>
          <w:rFonts w:hint="eastAsia"/>
        </w:rPr>
        <w:t>．</w:t>
      </w:r>
      <w:r>
        <w:t>民族教育研究</w:t>
      </w:r>
      <w:r>
        <w:rPr>
          <w:rFonts w:hint="eastAsia"/>
        </w:rPr>
        <w:t>，</w:t>
      </w:r>
      <w:r>
        <w:rPr>
          <w:rFonts w:ascii="Times New Roman" w:hAnsi="Times New Roman"/>
        </w:rPr>
        <w:t>2004(02)</w:t>
      </w:r>
      <w:r>
        <w:rPr>
          <w:rFonts w:ascii="Times New Roman"/>
        </w:rPr>
        <w:t>：</w:t>
      </w:r>
      <w:r>
        <w:rPr>
          <w:rFonts w:ascii="Times New Roman" w:hAnsi="Times New Roman"/>
        </w:rPr>
        <w:t>33-37</w:t>
      </w:r>
      <w:r>
        <w:rPr>
          <w:rFonts w:ascii="Times New Roman"/>
        </w:rPr>
        <w:t>．</w:t>
      </w:r>
    </w:p>
  </w:footnote>
  <w:footnote w:id="4">
    <w:p w:rsidR="00721A26" w:rsidRDefault="00721A26" w:rsidP="00721A26">
      <w:pPr>
        <w:pStyle w:val="12"/>
      </w:pPr>
      <w:r>
        <w:rPr>
          <w:rStyle w:val="ac"/>
        </w:rPr>
        <w:footnoteRef/>
      </w:r>
      <w:r>
        <w:t xml:space="preserve"> </w:t>
      </w:r>
      <w:r>
        <w:rPr>
          <w:rFonts w:hint="eastAsia"/>
        </w:rPr>
        <w:t>刘美凤．</w:t>
      </w:r>
      <w:r>
        <w:t>高校本科生学业预警制度研究</w:t>
      </w:r>
      <w:r>
        <w:rPr>
          <w:rFonts w:ascii="Times New Roman" w:hAnsi="Times New Roman"/>
        </w:rPr>
        <w:t>[D]</w:t>
      </w:r>
      <w:r>
        <w:rPr>
          <w:rFonts w:hint="eastAsia"/>
        </w:rPr>
        <w:t>．</w:t>
      </w:r>
      <w:r>
        <w:t>陕西师范大学</w:t>
      </w:r>
      <w:r>
        <w:rPr>
          <w:rFonts w:hint="eastAsia"/>
        </w:rPr>
        <w:t>．</w:t>
      </w:r>
      <w:r>
        <w:rPr>
          <w:rFonts w:ascii="Times New Roman" w:hAnsi="Times New Roman"/>
        </w:rPr>
        <w:t>2017</w:t>
      </w:r>
      <w:r>
        <w:rPr>
          <w:rFonts w:ascii="Times New Roman"/>
        </w:rPr>
        <w:t>．</w:t>
      </w:r>
    </w:p>
  </w:footnote>
  <w:footnote w:id="5">
    <w:p w:rsidR="00721A26" w:rsidRDefault="00721A26" w:rsidP="00721A26">
      <w:pPr>
        <w:pStyle w:val="12"/>
        <w:rPr>
          <w:rFonts w:ascii="Times New Roman" w:hAnsi="Times New Roman"/>
        </w:rPr>
      </w:pPr>
      <w:r>
        <w:rPr>
          <w:rStyle w:val="ac"/>
        </w:rPr>
        <w:footnoteRef/>
      </w:r>
      <w:r>
        <w:rPr>
          <w:rFonts w:hint="eastAsia"/>
        </w:rPr>
        <w:t>陈祥云．</w:t>
      </w:r>
      <w:r>
        <w:t>高校“学困生”精准帮扶机制研究</w:t>
      </w:r>
      <w:r>
        <w:rPr>
          <w:rFonts w:ascii="Times New Roman" w:hAnsi="Times New Roman"/>
        </w:rPr>
        <w:t>[J]</w:t>
      </w:r>
      <w:r>
        <w:rPr>
          <w:rFonts w:hint="eastAsia"/>
        </w:rPr>
        <w:t>．</w:t>
      </w:r>
      <w:r>
        <w:t>高教学刊</w:t>
      </w:r>
      <w:r>
        <w:rPr>
          <w:rFonts w:ascii="Times New Roman"/>
        </w:rPr>
        <w:t>，</w:t>
      </w:r>
      <w:r>
        <w:rPr>
          <w:rFonts w:ascii="Times New Roman" w:hAnsi="Times New Roman"/>
        </w:rPr>
        <w:t>2017(24):58-60</w:t>
      </w:r>
      <w:r>
        <w:rPr>
          <w:rFonts w:ascii="Times New Roman" w:hAnsi="Times New Roman"/>
        </w:rPr>
        <w:t>．</w:t>
      </w:r>
    </w:p>
  </w:footnote>
  <w:footnote w:id="6">
    <w:p w:rsidR="00721A26" w:rsidRDefault="00721A26" w:rsidP="00721A26">
      <w:pPr>
        <w:pStyle w:val="12"/>
      </w:pPr>
      <w:r>
        <w:rPr>
          <w:rStyle w:val="ac"/>
        </w:rPr>
        <w:footnoteRef/>
      </w:r>
      <w:r>
        <w:t xml:space="preserve"> </w:t>
      </w:r>
      <w:r>
        <w:rPr>
          <w:rFonts w:hint="eastAsia"/>
        </w:rPr>
        <w:t>高凌飚．</w:t>
      </w:r>
      <w:r>
        <w:t>关于过程性评价的思考</w:t>
      </w:r>
      <w:r>
        <w:rPr>
          <w:rFonts w:ascii="Times New Roman" w:hAnsi="Times New Roman"/>
        </w:rPr>
        <w:t>[J]</w:t>
      </w:r>
      <w:r>
        <w:rPr>
          <w:rFonts w:hint="eastAsia"/>
        </w:rPr>
        <w:t>．</w:t>
      </w:r>
      <w:r>
        <w:t>课程教材教法</w:t>
      </w:r>
      <w:r>
        <w:rPr>
          <w:rFonts w:hint="eastAsia"/>
        </w:rPr>
        <w:t>，</w:t>
      </w:r>
      <w:r>
        <w:rPr>
          <w:rFonts w:ascii="Times New Roman" w:hAnsi="Times New Roman"/>
        </w:rPr>
        <w:t>2004(10)</w:t>
      </w:r>
      <w:r>
        <w:rPr>
          <w:rFonts w:ascii="Times New Roman"/>
        </w:rPr>
        <w:t>：</w:t>
      </w:r>
      <w:r>
        <w:rPr>
          <w:rFonts w:ascii="Times New Roman" w:hAnsi="Times New Roman"/>
        </w:rPr>
        <w:t>15-19</w:t>
      </w:r>
      <w:r>
        <w:rPr>
          <w:rFonts w:ascii="Times New Roman"/>
        </w:rPr>
        <w:t>．</w:t>
      </w:r>
    </w:p>
  </w:footnote>
  <w:footnote w:id="7">
    <w:p w:rsidR="00721A26" w:rsidRDefault="00721A26" w:rsidP="00721A26">
      <w:pPr>
        <w:pStyle w:val="12"/>
        <w:rPr>
          <w:rFonts w:ascii="Times New Roman" w:hAnsi="Times New Roman"/>
        </w:rPr>
      </w:pPr>
      <w:r>
        <w:rPr>
          <w:rStyle w:val="ac"/>
        </w:rPr>
        <w:footnoteRef/>
      </w:r>
      <w:r>
        <w:rPr>
          <w:rFonts w:hint="eastAsia"/>
        </w:rPr>
        <w:t>周东斌，周训梅，黄馨馨．基于人才培养质量保障体系的学业预警机制研究</w:t>
      </w:r>
      <w:r>
        <w:rPr>
          <w:rFonts w:ascii="Times New Roman" w:hAnsi="Times New Roman"/>
        </w:rPr>
        <w:t>[J]</w:t>
      </w:r>
      <w:r>
        <w:rPr>
          <w:rFonts w:hint="eastAsia"/>
        </w:rPr>
        <w:t>．广东轻工职业技术学院学报，</w:t>
      </w:r>
      <w:r>
        <w:rPr>
          <w:rFonts w:ascii="Times New Roman" w:hAnsi="Times New Roman"/>
        </w:rPr>
        <w:t>2015</w:t>
      </w:r>
      <w:r>
        <w:rPr>
          <w:rFonts w:ascii="Times New Roman" w:hAnsi="Times New Roman" w:hint="eastAsia"/>
        </w:rPr>
        <w:t>，</w:t>
      </w:r>
      <w:r>
        <w:rPr>
          <w:rFonts w:ascii="Times New Roman" w:hAnsi="Times New Roman"/>
        </w:rPr>
        <w:t>02:32-35</w:t>
      </w:r>
      <w:r>
        <w:rPr>
          <w:rFonts w:ascii="Times New Roman" w:hAnsi="Times New Roman" w:hint="eastAsia"/>
        </w:rPr>
        <w:t>．</w:t>
      </w:r>
    </w:p>
  </w:footnote>
  <w:footnote w:id="8">
    <w:p w:rsidR="00721A26" w:rsidRDefault="00721A26" w:rsidP="00721A26">
      <w:pPr>
        <w:pStyle w:val="12"/>
        <w:rPr>
          <w:rFonts w:ascii="Times New Roman" w:hAnsi="Times New Roman"/>
        </w:rPr>
      </w:pPr>
      <w:r>
        <w:rPr>
          <w:rStyle w:val="ac"/>
        </w:rPr>
        <w:footnoteRef/>
      </w:r>
      <w:r>
        <w:rPr>
          <w:rFonts w:hint="eastAsia"/>
        </w:rPr>
        <w:t>朱李楠，许帅．基于课程关联性的高校学业预警体系构建研究</w:t>
      </w:r>
      <w:r>
        <w:rPr>
          <w:rFonts w:ascii="Times New Roman" w:hAnsi="Times New Roman"/>
        </w:rPr>
        <w:t>[J]</w:t>
      </w:r>
      <w:r>
        <w:rPr>
          <w:rFonts w:hint="eastAsia"/>
        </w:rPr>
        <w:t>．浙江工业大学学报（社会科学版），</w:t>
      </w:r>
      <w:r>
        <w:rPr>
          <w:rFonts w:ascii="Times New Roman" w:hAnsi="Times New Roman"/>
        </w:rPr>
        <w:t>2014,04:433-437.</w:t>
      </w:r>
    </w:p>
  </w:footnote>
  <w:footnote w:id="9">
    <w:p w:rsidR="00721A26" w:rsidRDefault="00721A26" w:rsidP="00721A26">
      <w:pPr>
        <w:pStyle w:val="12"/>
      </w:pPr>
      <w:r>
        <w:rPr>
          <w:rStyle w:val="ac"/>
        </w:rPr>
        <w:footnoteRef/>
      </w:r>
      <w:r>
        <w:rPr>
          <w:rFonts w:hint="eastAsia"/>
        </w:rPr>
        <w:t>邹慧．独立学院“学困生”学业预警机制探析</w:t>
      </w:r>
      <w:r>
        <w:rPr>
          <w:rFonts w:ascii="Times New Roman" w:hAnsi="Times New Roman"/>
        </w:rPr>
        <w:t>[D]</w:t>
      </w:r>
      <w:r>
        <w:rPr>
          <w:rFonts w:ascii="Times New Roman" w:hAnsi="Times New Roman" w:hint="eastAsia"/>
        </w:rPr>
        <w:t>．</w:t>
      </w:r>
      <w:r>
        <w:rPr>
          <w:rFonts w:hint="eastAsia"/>
        </w:rPr>
        <w:t>南京师范大学</w:t>
      </w:r>
      <w:r>
        <w:rPr>
          <w:rFonts w:ascii="Times New Roman"/>
        </w:rPr>
        <w:t>，</w:t>
      </w:r>
      <w:r>
        <w:rPr>
          <w:rFonts w:ascii="Times New Roman" w:hAnsi="Times New Roman"/>
        </w:rPr>
        <w:t>2011</w:t>
      </w:r>
      <w:r>
        <w:rPr>
          <w:rFonts w:ascii="Times New Roman"/>
        </w:rPr>
        <w:t>．</w:t>
      </w:r>
    </w:p>
  </w:footnote>
  <w:footnote w:id="10">
    <w:p w:rsidR="00721A26" w:rsidRDefault="00721A26" w:rsidP="00721A26">
      <w:pPr>
        <w:pStyle w:val="12"/>
      </w:pPr>
      <w:r>
        <w:rPr>
          <w:rStyle w:val="ac"/>
        </w:rPr>
        <w:footnoteRef/>
      </w:r>
      <w:r>
        <w:rPr>
          <w:rFonts w:hint="eastAsia"/>
        </w:rPr>
        <w:t>许迪．高校学业预警帮扶机制研究与实践</w:t>
      </w:r>
      <w:r>
        <w:t>——</w:t>
      </w:r>
      <w:r>
        <w:rPr>
          <w:rFonts w:hint="eastAsia"/>
        </w:rPr>
        <w:t>基于黑龙江省某高校大四年级学生学业预警工作的实证分析</w:t>
      </w:r>
      <w:r>
        <w:rPr>
          <w:rFonts w:ascii="Times New Roman" w:hAnsi="Times New Roman"/>
        </w:rPr>
        <w:t>[J]</w:t>
      </w:r>
      <w:r>
        <w:rPr>
          <w:rFonts w:ascii="Times New Roman" w:hAnsi="Times New Roman" w:hint="eastAsia"/>
        </w:rPr>
        <w:t>．</w:t>
      </w:r>
      <w:r>
        <w:rPr>
          <w:rFonts w:hint="eastAsia"/>
        </w:rPr>
        <w:t>学理论，</w:t>
      </w:r>
      <w:r>
        <w:rPr>
          <w:rFonts w:ascii="Times New Roman" w:hAnsi="Times New Roman"/>
        </w:rPr>
        <w:t>2015,23:109-110</w:t>
      </w:r>
      <w:r>
        <w:rPr>
          <w:rFonts w:ascii="Times New Roman" w:hAnsi="Times New Roman" w:hint="eastAsia"/>
        </w:rPr>
        <w:t>．</w:t>
      </w:r>
    </w:p>
  </w:footnote>
  <w:footnote w:id="11">
    <w:p w:rsidR="00721A26" w:rsidRDefault="00721A26" w:rsidP="00721A26">
      <w:pPr>
        <w:pStyle w:val="12"/>
        <w:rPr>
          <w:rFonts w:ascii="Times New Roman" w:hAnsi="Times New Roman"/>
        </w:rPr>
      </w:pPr>
      <w:r>
        <w:rPr>
          <w:rStyle w:val="ac"/>
        </w:rPr>
        <w:footnoteRef/>
      </w:r>
      <w:r>
        <w:rPr>
          <w:rFonts w:ascii="Arial" w:hAnsi="Arial" w:cs="Arial" w:hint="eastAsia"/>
        </w:rPr>
        <w:t>杨宝玲，郭治虎．促进专业发展的大学生学业预警机制构建</w:t>
      </w:r>
      <w:r>
        <w:rPr>
          <w:rFonts w:ascii="Times New Roman" w:hAnsi="Times New Roman"/>
        </w:rPr>
        <w:t>[J]</w:t>
      </w:r>
      <w:r>
        <w:rPr>
          <w:rFonts w:ascii="Arial" w:hAnsi="Arial" w:cs="Arial" w:hint="eastAsia"/>
        </w:rPr>
        <w:t>．软件导刊</w:t>
      </w:r>
      <w:r>
        <w:rPr>
          <w:rFonts w:ascii="Arial" w:hAnsi="Arial" w:cs="Arial"/>
        </w:rPr>
        <w:t>(</w:t>
      </w:r>
      <w:r>
        <w:rPr>
          <w:rFonts w:ascii="Arial" w:hAnsi="Arial" w:cs="Arial" w:hint="eastAsia"/>
        </w:rPr>
        <w:t>教育技术</w:t>
      </w:r>
      <w:r>
        <w:rPr>
          <w:rFonts w:ascii="Arial" w:hAnsi="Arial" w:cs="Arial"/>
        </w:rPr>
        <w:t>)</w:t>
      </w:r>
      <w:r>
        <w:rPr>
          <w:rFonts w:ascii="Arial" w:hAnsi="Arial" w:cs="Arial" w:hint="eastAsia"/>
        </w:rPr>
        <w:t>，</w:t>
      </w:r>
      <w:r>
        <w:rPr>
          <w:rFonts w:ascii="Times New Roman" w:hAnsi="Times New Roman"/>
        </w:rPr>
        <w:t>2012</w:t>
      </w:r>
      <w:r>
        <w:rPr>
          <w:rFonts w:ascii="Times New Roman" w:hAnsi="Times New Roman" w:hint="eastAsia"/>
        </w:rPr>
        <w:t>，</w:t>
      </w:r>
      <w:r>
        <w:rPr>
          <w:rFonts w:ascii="Times New Roman" w:hAnsi="Times New Roman"/>
        </w:rPr>
        <w:t>09</w:t>
      </w:r>
      <w:r>
        <w:rPr>
          <w:rFonts w:ascii="Times New Roman" w:hAnsi="Times New Roman" w:hint="eastAsia"/>
        </w:rPr>
        <w:t>：</w:t>
      </w:r>
      <w:r>
        <w:rPr>
          <w:rFonts w:ascii="Times New Roman" w:hAnsi="Times New Roman"/>
        </w:rPr>
        <w:t>35-37.</w:t>
      </w:r>
    </w:p>
  </w:footnote>
  <w:footnote w:id="12">
    <w:p w:rsidR="00721A26" w:rsidRDefault="00721A26" w:rsidP="00721A26">
      <w:pPr>
        <w:pStyle w:val="12"/>
      </w:pPr>
      <w:r>
        <w:rPr>
          <w:rStyle w:val="ac"/>
        </w:rPr>
        <w:footnoteRef/>
      </w:r>
      <w:r>
        <w:rPr>
          <w:rFonts w:hint="eastAsia"/>
        </w:rPr>
        <w:t>杜小刚，张慧，魏哲．高校学业预警机制构建研究</w:t>
      </w:r>
      <w:r>
        <w:rPr>
          <w:rFonts w:ascii="Times New Roman" w:hAnsi="Times New Roman"/>
        </w:rPr>
        <w:t>[J]</w:t>
      </w:r>
      <w:r>
        <w:rPr>
          <w:rFonts w:hint="eastAsia"/>
        </w:rPr>
        <w:t>．出国与就业</w:t>
      </w:r>
      <w:r>
        <w:t>(</w:t>
      </w:r>
      <w:r>
        <w:rPr>
          <w:rFonts w:hint="eastAsia"/>
        </w:rPr>
        <w:t>就业版</w:t>
      </w:r>
      <w:r>
        <w:t>)</w:t>
      </w:r>
      <w:r>
        <w:rPr>
          <w:rFonts w:hint="eastAsia"/>
        </w:rPr>
        <w:t>，</w:t>
      </w:r>
      <w:r>
        <w:rPr>
          <w:rFonts w:ascii="Times New Roman" w:hAnsi="Times New Roman"/>
        </w:rPr>
        <w:t>2011</w:t>
      </w:r>
      <w:r>
        <w:rPr>
          <w:rFonts w:ascii="Times New Roman"/>
        </w:rPr>
        <w:t>，</w:t>
      </w:r>
      <w:r>
        <w:rPr>
          <w:rFonts w:ascii="Times New Roman" w:hAnsi="Times New Roman"/>
        </w:rPr>
        <w:t>19</w:t>
      </w:r>
      <w:r>
        <w:rPr>
          <w:rFonts w:ascii="Times New Roman"/>
        </w:rPr>
        <w:t>：</w:t>
      </w:r>
      <w:r>
        <w:rPr>
          <w:rFonts w:ascii="Times New Roman" w:hAnsi="Times New Roman"/>
        </w:rPr>
        <w:t>120-121</w:t>
      </w:r>
      <w:r>
        <w:rPr>
          <w:rFonts w:ascii="Times New Roman" w:hAnsi="Times New Roman" w:hint="eastAsia"/>
        </w:rPr>
        <w:t>．</w:t>
      </w:r>
    </w:p>
  </w:footnote>
  <w:footnote w:id="13">
    <w:p w:rsidR="00721A26" w:rsidRDefault="00721A26" w:rsidP="00721A26">
      <w:pPr>
        <w:pStyle w:val="12"/>
      </w:pPr>
      <w:r>
        <w:rPr>
          <w:rStyle w:val="ac"/>
        </w:rPr>
        <w:footnoteRef/>
      </w:r>
      <w:r>
        <w:rPr>
          <w:rFonts w:hint="eastAsia"/>
        </w:rPr>
        <w:t>邹慧．独立学院“学困生”学业预警机制探析</w:t>
      </w:r>
      <w:r>
        <w:rPr>
          <w:rFonts w:ascii="Times New Roman" w:hAnsi="Times New Roman"/>
        </w:rPr>
        <w:t>[D]</w:t>
      </w:r>
      <w:r>
        <w:rPr>
          <w:rFonts w:ascii="Times New Roman"/>
        </w:rPr>
        <w:t>．</w:t>
      </w:r>
      <w:r>
        <w:rPr>
          <w:rFonts w:hint="eastAsia"/>
        </w:rPr>
        <w:t>南京：南京师范大学硕士学位论文</w:t>
      </w:r>
      <w:r>
        <w:rPr>
          <w:rFonts w:ascii="Times New Roman"/>
        </w:rPr>
        <w:t>，</w:t>
      </w:r>
      <w:r>
        <w:rPr>
          <w:rFonts w:ascii="Times New Roman" w:hAnsi="Times New Roman"/>
        </w:rPr>
        <w:t>2012</w:t>
      </w:r>
      <w:r>
        <w:rPr>
          <w:rFonts w:ascii="Times New Roman"/>
        </w:rPr>
        <w:t>．</w:t>
      </w:r>
    </w:p>
  </w:footnote>
  <w:footnote w:id="14">
    <w:p w:rsidR="00721A26" w:rsidRDefault="00721A26" w:rsidP="00721A26">
      <w:pPr>
        <w:pStyle w:val="12"/>
        <w:rPr>
          <w:rFonts w:ascii="Times New Roman" w:hAnsi="Times New Roman"/>
        </w:rPr>
      </w:pPr>
      <w:r>
        <w:rPr>
          <w:rStyle w:val="ac"/>
        </w:rPr>
        <w:footnoteRef/>
      </w:r>
      <w:r>
        <w:t xml:space="preserve"> 上海水产大学推出“学业预警”机制</w:t>
      </w:r>
      <w:r>
        <w:rPr>
          <w:rFonts w:ascii="Times New Roman" w:hAnsi="Times New Roman"/>
        </w:rPr>
        <w:t>[J]</w:t>
      </w:r>
      <w:r>
        <w:rPr>
          <w:rFonts w:hint="eastAsia"/>
        </w:rPr>
        <w:t>．</w:t>
      </w:r>
      <w:r>
        <w:t>职业教育研究</w:t>
      </w:r>
      <w:r>
        <w:rPr>
          <w:rFonts w:ascii="Times New Roman"/>
        </w:rPr>
        <w:t>，</w:t>
      </w:r>
      <w:r>
        <w:rPr>
          <w:rFonts w:ascii="Times New Roman" w:hAnsi="Times New Roman"/>
        </w:rPr>
        <w:t>2005(07)</w:t>
      </w:r>
      <w:r>
        <w:rPr>
          <w:rFonts w:ascii="Times New Roman" w:hAnsi="Times New Roman" w:hint="eastAsia"/>
        </w:rPr>
        <w:t>：</w:t>
      </w:r>
      <w:r>
        <w:rPr>
          <w:rFonts w:ascii="Times New Roman" w:hAnsi="Times New Roman"/>
        </w:rPr>
        <w:t>124</w:t>
      </w:r>
      <w:r>
        <w:rPr>
          <w:rFonts w:ascii="Times New Roman" w:hAnsi="Times New Roman" w:hint="eastAsia"/>
        </w:rPr>
        <w:t>．</w:t>
      </w:r>
    </w:p>
  </w:footnote>
  <w:footnote w:id="15">
    <w:p w:rsidR="00721A26" w:rsidRDefault="00721A26" w:rsidP="00721A26">
      <w:pPr>
        <w:pStyle w:val="12"/>
      </w:pPr>
      <w:r>
        <w:rPr>
          <w:rStyle w:val="ac"/>
        </w:rPr>
        <w:footnoteRef/>
      </w:r>
      <w:r>
        <w:rPr>
          <w:rFonts w:hint="eastAsia"/>
        </w:rPr>
        <w:t>许迪．高校学业预警帮扶机制研究与实践</w:t>
      </w:r>
      <w:r>
        <w:t>——</w:t>
      </w:r>
      <w:r>
        <w:rPr>
          <w:rFonts w:hint="eastAsia"/>
        </w:rPr>
        <w:t>基于黑龙江省某高校大四年级学生学业预警工作的实证分析</w:t>
      </w:r>
      <w:r>
        <w:rPr>
          <w:rFonts w:ascii="Times New Roman" w:hAnsi="Times New Roman"/>
        </w:rPr>
        <w:t>[J]</w:t>
      </w:r>
      <w:r>
        <w:rPr>
          <w:rFonts w:ascii="Times New Roman" w:hAnsi="Times New Roman" w:hint="eastAsia"/>
        </w:rPr>
        <w:t>．</w:t>
      </w:r>
      <w:r>
        <w:rPr>
          <w:rFonts w:hint="eastAsia"/>
        </w:rPr>
        <w:t>学理论，</w:t>
      </w:r>
      <w:r>
        <w:rPr>
          <w:rFonts w:ascii="Times New Roman" w:hAnsi="Times New Roman"/>
        </w:rPr>
        <w:t>2015</w:t>
      </w:r>
      <w:r>
        <w:rPr>
          <w:rFonts w:ascii="Times New Roman" w:hAnsi="Times New Roman"/>
        </w:rPr>
        <w:t>，</w:t>
      </w:r>
      <w:r>
        <w:rPr>
          <w:rFonts w:ascii="Times New Roman" w:hAnsi="Times New Roman"/>
        </w:rPr>
        <w:t>23</w:t>
      </w:r>
      <w:r>
        <w:rPr>
          <w:rFonts w:ascii="Times New Roman" w:hAnsi="Times New Roman"/>
        </w:rPr>
        <w:t>：</w:t>
      </w:r>
      <w:r>
        <w:rPr>
          <w:rFonts w:ascii="Times New Roman" w:hAnsi="Times New Roman"/>
        </w:rPr>
        <w:t>109-110</w:t>
      </w:r>
      <w:r>
        <w:rPr>
          <w:rFonts w:ascii="Times New Roman" w:hAnsi="Times New Roman"/>
        </w:rPr>
        <w:t>．</w:t>
      </w:r>
    </w:p>
  </w:footnote>
  <w:footnote w:id="16">
    <w:p w:rsidR="00721A26" w:rsidRDefault="00721A26" w:rsidP="00721A26">
      <w:pPr>
        <w:pStyle w:val="12"/>
        <w:rPr>
          <w:rFonts w:ascii="Times New Roman" w:hAnsi="Times New Roman"/>
        </w:rPr>
      </w:pPr>
      <w:r>
        <w:rPr>
          <w:rStyle w:val="ac"/>
        </w:rPr>
        <w:footnoteRef/>
      </w:r>
      <w:r>
        <w:rPr>
          <w:rFonts w:hint="eastAsia"/>
        </w:rPr>
        <w:t>吕江维，刘文军，吴晓光，李鑫，崔琳琳．基于数据分析的高校学生学业预警机制研究</w:t>
      </w:r>
      <w:r>
        <w:t>——</w:t>
      </w:r>
      <w:r>
        <w:rPr>
          <w:rFonts w:hint="eastAsia"/>
        </w:rPr>
        <w:t>以某高校制药工程专业为例</w:t>
      </w:r>
      <w:r>
        <w:rPr>
          <w:rFonts w:ascii="Times New Roman" w:hAnsi="Times New Roman"/>
        </w:rPr>
        <w:t>[J]</w:t>
      </w:r>
      <w:r>
        <w:rPr>
          <w:rFonts w:hint="eastAsia"/>
        </w:rPr>
        <w:t>．北方经贸，</w:t>
      </w:r>
      <w:r>
        <w:rPr>
          <w:rFonts w:ascii="Times New Roman" w:hAnsi="Times New Roman"/>
        </w:rPr>
        <w:t>2015</w:t>
      </w:r>
      <w:r>
        <w:rPr>
          <w:rFonts w:ascii="Times New Roman" w:hAnsi="Times New Roman"/>
        </w:rPr>
        <w:t>，</w:t>
      </w:r>
      <w:r>
        <w:rPr>
          <w:rFonts w:ascii="Times New Roman" w:hAnsi="Times New Roman"/>
        </w:rPr>
        <w:t>04:216-218.</w:t>
      </w:r>
    </w:p>
  </w:footnote>
  <w:footnote w:id="17">
    <w:p w:rsidR="00721A26" w:rsidRDefault="00721A26" w:rsidP="00721A26">
      <w:pPr>
        <w:pStyle w:val="12"/>
        <w:rPr>
          <w:rFonts w:ascii="Times New Roman" w:hAnsi="Times New Roman"/>
        </w:rPr>
      </w:pPr>
      <w:r>
        <w:rPr>
          <w:rStyle w:val="ac"/>
        </w:rPr>
        <w:footnoteRef/>
      </w:r>
      <w:r>
        <w:rPr>
          <w:rFonts w:hint="eastAsia"/>
        </w:rPr>
        <w:t>邹慧．独立学院“学困生”学业预警机制探析</w:t>
      </w:r>
      <w:r>
        <w:rPr>
          <w:rFonts w:ascii="Times New Roman" w:hAnsi="Times New Roman"/>
        </w:rPr>
        <w:t>[J]</w:t>
      </w:r>
      <w:r>
        <w:rPr>
          <w:rFonts w:hint="eastAsia"/>
        </w:rPr>
        <w:t>．南京师范大学，</w:t>
      </w:r>
      <w:r>
        <w:rPr>
          <w:rFonts w:ascii="Times New Roman" w:hAnsi="Times New Roman"/>
        </w:rPr>
        <w:t>2011</w:t>
      </w:r>
      <w:r>
        <w:rPr>
          <w:rFonts w:ascii="Times New Roman"/>
        </w:rPr>
        <w:t>．</w:t>
      </w:r>
    </w:p>
  </w:footnote>
  <w:footnote w:id="18">
    <w:p w:rsidR="00721A26" w:rsidRDefault="00721A26" w:rsidP="00721A26">
      <w:pPr>
        <w:pStyle w:val="12"/>
      </w:pPr>
      <w:r>
        <w:rPr>
          <w:rStyle w:val="ac"/>
        </w:rPr>
        <w:footnoteRef/>
      </w:r>
      <w:r>
        <w:rPr>
          <w:rFonts w:hint="eastAsia"/>
        </w:rPr>
        <w:t>吴新华．高校学生学业预警系统探索与实践</w:t>
      </w:r>
      <w:r>
        <w:rPr>
          <w:rFonts w:ascii="Times New Roman" w:hAnsi="Times New Roman"/>
        </w:rPr>
        <w:t>[J]</w:t>
      </w:r>
      <w:r>
        <w:rPr>
          <w:rFonts w:ascii="Times New Roman" w:hAnsi="Times New Roman" w:hint="eastAsia"/>
        </w:rPr>
        <w:t>．</w:t>
      </w:r>
      <w:r>
        <w:rPr>
          <w:rFonts w:hint="eastAsia"/>
        </w:rPr>
        <w:t>中国教育技术装备，</w:t>
      </w:r>
      <w:r>
        <w:rPr>
          <w:rFonts w:ascii="Times New Roman" w:hAnsi="Times New Roman"/>
        </w:rPr>
        <w:t>2014</w:t>
      </w:r>
      <w:r>
        <w:rPr>
          <w:rFonts w:ascii="Times New Roman" w:hAnsi="Times New Roman"/>
        </w:rPr>
        <w:t>，</w:t>
      </w:r>
      <w:r>
        <w:rPr>
          <w:rFonts w:ascii="Times New Roman" w:hAnsi="Times New Roman"/>
        </w:rPr>
        <w:t>06</w:t>
      </w:r>
      <w:r>
        <w:rPr>
          <w:rFonts w:ascii="Times New Roman" w:hAnsi="Times New Roman"/>
        </w:rPr>
        <w:t>：</w:t>
      </w:r>
      <w:r>
        <w:rPr>
          <w:rFonts w:ascii="Times New Roman" w:hAnsi="Times New Roman"/>
        </w:rPr>
        <w:t>45-48</w:t>
      </w:r>
      <w:r>
        <w:rPr>
          <w:rFonts w:ascii="Times New Roman" w:hAnsi="Times New Roman"/>
        </w:rPr>
        <w:t>．</w:t>
      </w:r>
    </w:p>
  </w:footnote>
  <w:footnote w:id="19">
    <w:p w:rsidR="00721A26" w:rsidRDefault="00721A26" w:rsidP="00721A26">
      <w:pPr>
        <w:pStyle w:val="12"/>
      </w:pPr>
      <w:r>
        <w:rPr>
          <w:rStyle w:val="ac"/>
        </w:rPr>
        <w:footnoteRef/>
      </w:r>
      <w:r>
        <w:rPr>
          <w:rFonts w:hint="eastAsia"/>
        </w:rPr>
        <w:t>王毅磊，王鹏．高校学生学业预警保障体系构建研究</w:t>
      </w:r>
      <w:r>
        <w:rPr>
          <w:rFonts w:ascii="Times New Roman" w:hAnsi="Times New Roman"/>
        </w:rPr>
        <w:t>[J]</w:t>
      </w:r>
      <w:r>
        <w:rPr>
          <w:rFonts w:ascii="Times New Roman" w:hAnsi="Times New Roman" w:hint="eastAsia"/>
        </w:rPr>
        <w:t>．</w:t>
      </w:r>
      <w:r>
        <w:rPr>
          <w:rFonts w:hint="eastAsia"/>
        </w:rPr>
        <w:t>上海教育评估研究，</w:t>
      </w:r>
      <w:r>
        <w:rPr>
          <w:rFonts w:ascii="Times New Roman" w:hAnsi="Times New Roman"/>
        </w:rPr>
        <w:t>2014</w:t>
      </w:r>
      <w:r>
        <w:rPr>
          <w:rFonts w:ascii="Times New Roman"/>
        </w:rPr>
        <w:t>，</w:t>
      </w:r>
      <w:r>
        <w:rPr>
          <w:rFonts w:ascii="Times New Roman" w:hAnsi="Times New Roman"/>
        </w:rPr>
        <w:t>03</w:t>
      </w:r>
      <w:r>
        <w:rPr>
          <w:rFonts w:ascii="Times New Roman"/>
        </w:rPr>
        <w:t>：</w:t>
      </w:r>
      <w:r>
        <w:rPr>
          <w:rFonts w:ascii="Times New Roman" w:hAnsi="Times New Roman"/>
        </w:rPr>
        <w:t>36-40</w:t>
      </w:r>
      <w:r>
        <w:rPr>
          <w:rFonts w:ascii="Times New Roman"/>
        </w:rPr>
        <w:t>．</w:t>
      </w:r>
    </w:p>
  </w:footnote>
  <w:footnote w:id="20">
    <w:p w:rsidR="00721A26" w:rsidRDefault="00721A26" w:rsidP="00721A26">
      <w:pPr>
        <w:pStyle w:val="12"/>
      </w:pPr>
      <w:r>
        <w:rPr>
          <w:rStyle w:val="ac"/>
        </w:rPr>
        <w:footnoteRef/>
      </w:r>
      <w:r>
        <w:t xml:space="preserve"> </w:t>
      </w:r>
      <w:r>
        <w:rPr>
          <w:rFonts w:hint="eastAsia"/>
        </w:rPr>
        <w:t>学业</w:t>
      </w:r>
      <w:r>
        <w:t>发展中心于</w:t>
      </w:r>
      <w:r>
        <w:rPr>
          <w:rFonts w:hint="eastAsia"/>
        </w:rPr>
        <w:t>2015年</w:t>
      </w:r>
      <w:r>
        <w:t>初成立，</w:t>
      </w:r>
      <w:r>
        <w:rPr>
          <w:rFonts w:hint="eastAsia"/>
        </w:rPr>
        <w:t>2014</w:t>
      </w:r>
      <w:r>
        <w:t>-2015</w:t>
      </w:r>
      <w:r>
        <w:rPr>
          <w:rFonts w:hint="eastAsia"/>
        </w:rPr>
        <w:t>学年</w:t>
      </w:r>
      <w:r>
        <w:t>第</w:t>
      </w:r>
      <w:r>
        <w:rPr>
          <w:rFonts w:hint="eastAsia"/>
        </w:rPr>
        <w:t>一学期</w:t>
      </w:r>
      <w:r>
        <w:t>为第一期预警</w:t>
      </w:r>
      <w:r>
        <w:rPr>
          <w:rFonts w:hint="eastAsia"/>
        </w:rPr>
        <w:t>，</w:t>
      </w:r>
      <w:r>
        <w:t>以学期为单位顺延，当前已经是第七期</w:t>
      </w:r>
      <w:r>
        <w:rPr>
          <w:rFonts w:hint="eastAsia"/>
        </w:rPr>
        <w:t>（2017-2018学年</w:t>
      </w:r>
      <w:r>
        <w:t>第</w:t>
      </w:r>
      <w:r>
        <w:rPr>
          <w:rFonts w:hint="eastAsia"/>
        </w:rPr>
        <w:t>一学期</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0B0B8ED"/>
    <w:multiLevelType w:val="singleLevel"/>
    <w:tmpl w:val="90B0B8ED"/>
    <w:lvl w:ilvl="0">
      <w:start w:val="1"/>
      <w:numFmt w:val="decimal"/>
      <w:lvlText w:val="[%1]"/>
      <w:lvlJc w:val="left"/>
      <w:pPr>
        <w:tabs>
          <w:tab w:val="left" w:pos="420"/>
        </w:tabs>
        <w:ind w:left="425" w:hanging="425"/>
      </w:pPr>
      <w:rPr>
        <w:rFonts w:hint="default"/>
      </w:rPr>
    </w:lvl>
  </w:abstractNum>
  <w:abstractNum w:abstractNumId="1" w15:restartNumberingAfterBreak="0">
    <w:nsid w:val="A5D6CC5F"/>
    <w:multiLevelType w:val="singleLevel"/>
    <w:tmpl w:val="A5D6CC5F"/>
    <w:lvl w:ilvl="0">
      <w:start w:val="2"/>
      <w:numFmt w:val="chineseCounting"/>
      <w:suff w:val="nothing"/>
      <w:lvlText w:val="（%1）"/>
      <w:lvlJc w:val="left"/>
      <w:rPr>
        <w:rFonts w:hint="eastAsia"/>
      </w:rPr>
    </w:lvl>
  </w:abstractNum>
  <w:abstractNum w:abstractNumId="2" w15:restartNumberingAfterBreak="0">
    <w:nsid w:val="B1BC0A67"/>
    <w:multiLevelType w:val="singleLevel"/>
    <w:tmpl w:val="B1BC0A67"/>
    <w:lvl w:ilvl="0">
      <w:start w:val="1"/>
      <w:numFmt w:val="decimalEnclosedCircleChinese"/>
      <w:suff w:val="nothing"/>
      <w:lvlText w:val="%1　"/>
      <w:lvlJc w:val="left"/>
      <w:pPr>
        <w:ind w:left="0" w:firstLine="400"/>
      </w:pPr>
      <w:rPr>
        <w:rFonts w:hint="eastAsia"/>
      </w:rPr>
    </w:lvl>
  </w:abstractNum>
  <w:abstractNum w:abstractNumId="3" w15:restartNumberingAfterBreak="0">
    <w:nsid w:val="E1057777"/>
    <w:multiLevelType w:val="singleLevel"/>
    <w:tmpl w:val="E1057777"/>
    <w:lvl w:ilvl="0">
      <w:start w:val="1"/>
      <w:numFmt w:val="decimal"/>
      <w:lvlText w:val="%1."/>
      <w:lvlJc w:val="left"/>
      <w:pPr>
        <w:ind w:left="425" w:hanging="425"/>
      </w:pPr>
      <w:rPr>
        <w:rFonts w:hint="default"/>
      </w:rPr>
    </w:lvl>
  </w:abstractNum>
  <w:abstractNum w:abstractNumId="4" w15:restartNumberingAfterBreak="0">
    <w:nsid w:val="E77D0571"/>
    <w:multiLevelType w:val="singleLevel"/>
    <w:tmpl w:val="E77D0571"/>
    <w:lvl w:ilvl="0">
      <w:start w:val="1"/>
      <w:numFmt w:val="chineseCounting"/>
      <w:suff w:val="nothing"/>
      <w:lvlText w:val="（%1）"/>
      <w:lvlJc w:val="left"/>
      <w:rPr>
        <w:rFonts w:hint="eastAsia"/>
      </w:rPr>
    </w:lvl>
  </w:abstractNum>
  <w:abstractNum w:abstractNumId="5" w15:restartNumberingAfterBreak="0">
    <w:nsid w:val="F14D9699"/>
    <w:multiLevelType w:val="singleLevel"/>
    <w:tmpl w:val="F14D9699"/>
    <w:lvl w:ilvl="0">
      <w:start w:val="1"/>
      <w:numFmt w:val="chineseCounting"/>
      <w:suff w:val="nothing"/>
      <w:lvlText w:val="%1、"/>
      <w:lvlJc w:val="left"/>
      <w:rPr>
        <w:rFonts w:hint="eastAsia"/>
      </w:rPr>
    </w:lvl>
  </w:abstractNum>
  <w:abstractNum w:abstractNumId="6" w15:restartNumberingAfterBreak="0">
    <w:nsid w:val="10453358"/>
    <w:multiLevelType w:val="singleLevel"/>
    <w:tmpl w:val="10453358"/>
    <w:lvl w:ilvl="0">
      <w:start w:val="1"/>
      <w:numFmt w:val="decimal"/>
      <w:lvlText w:val="%1."/>
      <w:lvlJc w:val="left"/>
      <w:pPr>
        <w:ind w:left="425" w:hanging="425"/>
      </w:pPr>
      <w:rPr>
        <w:rFonts w:hint="default"/>
      </w:rPr>
    </w:lvl>
  </w:abstractNum>
  <w:abstractNum w:abstractNumId="7" w15:restartNumberingAfterBreak="0">
    <w:nsid w:val="1071FD9A"/>
    <w:multiLevelType w:val="singleLevel"/>
    <w:tmpl w:val="1071FD9A"/>
    <w:lvl w:ilvl="0">
      <w:start w:val="1"/>
      <w:numFmt w:val="decimal"/>
      <w:lvlText w:val="%1."/>
      <w:lvlJc w:val="left"/>
      <w:pPr>
        <w:ind w:left="425" w:hanging="425"/>
      </w:pPr>
      <w:rPr>
        <w:rFonts w:hint="default"/>
      </w:rPr>
    </w:lvl>
  </w:abstractNum>
  <w:abstractNum w:abstractNumId="8" w15:restartNumberingAfterBreak="0">
    <w:nsid w:val="254DE127"/>
    <w:multiLevelType w:val="singleLevel"/>
    <w:tmpl w:val="254DE127"/>
    <w:lvl w:ilvl="0">
      <w:start w:val="1"/>
      <w:numFmt w:val="decimal"/>
      <w:lvlText w:val="%1."/>
      <w:lvlJc w:val="left"/>
      <w:pPr>
        <w:ind w:left="425" w:hanging="425"/>
      </w:pPr>
      <w:rPr>
        <w:rFonts w:hint="default"/>
      </w:rPr>
    </w:lvl>
  </w:abstractNum>
  <w:abstractNum w:abstractNumId="9" w15:restartNumberingAfterBreak="0">
    <w:nsid w:val="3D8DE1FE"/>
    <w:multiLevelType w:val="singleLevel"/>
    <w:tmpl w:val="3D8DE1FE"/>
    <w:lvl w:ilvl="0">
      <w:start w:val="1"/>
      <w:numFmt w:val="chineseCounting"/>
      <w:suff w:val="nothing"/>
      <w:lvlText w:val="（%1）"/>
      <w:lvlJc w:val="left"/>
      <w:rPr>
        <w:rFonts w:hint="eastAsia"/>
      </w:rPr>
    </w:lvl>
  </w:abstractNum>
  <w:abstractNum w:abstractNumId="10" w15:restartNumberingAfterBreak="0">
    <w:nsid w:val="78FE5395"/>
    <w:multiLevelType w:val="singleLevel"/>
    <w:tmpl w:val="78FE5395"/>
    <w:lvl w:ilvl="0">
      <w:start w:val="1"/>
      <w:numFmt w:val="chineseCounting"/>
      <w:suff w:val="nothing"/>
      <w:lvlText w:val="（%1）"/>
      <w:lvlJc w:val="left"/>
      <w:rPr>
        <w:rFonts w:hint="eastAsia"/>
      </w:rPr>
    </w:lvl>
  </w:abstractNum>
  <w:num w:numId="1">
    <w:abstractNumId w:val="8"/>
  </w:num>
  <w:num w:numId="2">
    <w:abstractNumId w:val="3"/>
  </w:num>
  <w:num w:numId="3">
    <w:abstractNumId w:val="6"/>
  </w:num>
  <w:num w:numId="4">
    <w:abstractNumId w:val="7"/>
  </w:num>
  <w:num w:numId="5">
    <w:abstractNumId w:val="5"/>
  </w:num>
  <w:num w:numId="6">
    <w:abstractNumId w:val="10"/>
  </w:num>
  <w:num w:numId="7">
    <w:abstractNumId w:val="4"/>
  </w:num>
  <w:num w:numId="8">
    <w:abstractNumId w:val="1"/>
  </w:num>
  <w:num w:numId="9">
    <w:abstractNumId w:val="2"/>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3E6"/>
    <w:rsid w:val="00721A26"/>
    <w:rsid w:val="00956885"/>
    <w:rsid w:val="009823E6"/>
    <w:rsid w:val="00D674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E086C6-DF76-4FFE-92A5-755A023C3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1A26"/>
    <w:pPr>
      <w:widowControl w:val="0"/>
      <w:jc w:val="both"/>
    </w:pPr>
  </w:style>
  <w:style w:type="paragraph" w:styleId="1">
    <w:name w:val="heading 1"/>
    <w:basedOn w:val="a"/>
    <w:next w:val="a"/>
    <w:link w:val="10"/>
    <w:uiPriority w:val="9"/>
    <w:qFormat/>
    <w:rsid w:val="00721A26"/>
    <w:pPr>
      <w:keepNext/>
      <w:keepLines/>
      <w:spacing w:before="340" w:after="330" w:line="576" w:lineRule="auto"/>
      <w:outlineLvl w:val="0"/>
    </w:pPr>
    <w:rPr>
      <w:b/>
      <w:kern w:val="44"/>
      <w:sz w:val="44"/>
    </w:rPr>
  </w:style>
  <w:style w:type="paragraph" w:styleId="2">
    <w:name w:val="heading 2"/>
    <w:basedOn w:val="a"/>
    <w:next w:val="a"/>
    <w:link w:val="20"/>
    <w:uiPriority w:val="99"/>
    <w:qFormat/>
    <w:rsid w:val="00721A26"/>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iPriority w:val="99"/>
    <w:qFormat/>
    <w:rsid w:val="00721A2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21A26"/>
    <w:rPr>
      <w:b/>
      <w:kern w:val="44"/>
      <w:sz w:val="44"/>
    </w:rPr>
  </w:style>
  <w:style w:type="character" w:customStyle="1" w:styleId="20">
    <w:name w:val="标题 2 字符"/>
    <w:basedOn w:val="a0"/>
    <w:link w:val="2"/>
    <w:uiPriority w:val="99"/>
    <w:rsid w:val="00721A26"/>
    <w:rPr>
      <w:rFonts w:ascii="Cambria" w:hAnsi="Cambria"/>
      <w:b/>
      <w:bCs/>
      <w:sz w:val="32"/>
      <w:szCs w:val="32"/>
    </w:rPr>
  </w:style>
  <w:style w:type="character" w:customStyle="1" w:styleId="30">
    <w:name w:val="标题 3 字符"/>
    <w:basedOn w:val="a0"/>
    <w:link w:val="3"/>
    <w:uiPriority w:val="99"/>
    <w:qFormat/>
    <w:rsid w:val="00721A26"/>
    <w:rPr>
      <w:b/>
      <w:bCs/>
      <w:sz w:val="32"/>
      <w:szCs w:val="32"/>
    </w:rPr>
  </w:style>
  <w:style w:type="paragraph" w:styleId="a3">
    <w:name w:val="caption"/>
    <w:basedOn w:val="a"/>
    <w:next w:val="a"/>
    <w:uiPriority w:val="35"/>
    <w:unhideWhenUsed/>
    <w:qFormat/>
    <w:rsid w:val="00721A26"/>
    <w:rPr>
      <w:rFonts w:asciiTheme="majorHAnsi" w:eastAsia="黑体" w:hAnsiTheme="majorHAnsi" w:cstheme="majorBidi"/>
      <w:sz w:val="20"/>
      <w:szCs w:val="20"/>
    </w:rPr>
  </w:style>
  <w:style w:type="paragraph" w:styleId="31">
    <w:name w:val="toc 3"/>
    <w:basedOn w:val="a"/>
    <w:next w:val="a"/>
    <w:uiPriority w:val="39"/>
    <w:unhideWhenUsed/>
    <w:rsid w:val="00721A26"/>
    <w:pPr>
      <w:tabs>
        <w:tab w:val="right" w:leader="dot" w:pos="8296"/>
      </w:tabs>
      <w:spacing w:beforeLines="100" w:before="312" w:afterLines="100" w:after="312"/>
      <w:ind w:leftChars="400" w:left="840"/>
    </w:pPr>
  </w:style>
  <w:style w:type="paragraph" w:styleId="a4">
    <w:name w:val="footer"/>
    <w:basedOn w:val="a"/>
    <w:link w:val="a5"/>
    <w:uiPriority w:val="99"/>
    <w:qFormat/>
    <w:rsid w:val="00721A26"/>
    <w:pPr>
      <w:tabs>
        <w:tab w:val="center" w:pos="4153"/>
        <w:tab w:val="right" w:pos="8306"/>
      </w:tabs>
      <w:snapToGrid w:val="0"/>
      <w:jc w:val="left"/>
    </w:pPr>
    <w:rPr>
      <w:sz w:val="18"/>
      <w:szCs w:val="18"/>
    </w:rPr>
  </w:style>
  <w:style w:type="character" w:customStyle="1" w:styleId="a5">
    <w:name w:val="页脚 字符"/>
    <w:basedOn w:val="a0"/>
    <w:link w:val="a4"/>
    <w:uiPriority w:val="99"/>
    <w:rsid w:val="00721A26"/>
    <w:rPr>
      <w:sz w:val="18"/>
      <w:szCs w:val="18"/>
    </w:rPr>
  </w:style>
  <w:style w:type="paragraph" w:styleId="a6">
    <w:name w:val="header"/>
    <w:basedOn w:val="a"/>
    <w:link w:val="a7"/>
    <w:uiPriority w:val="99"/>
    <w:unhideWhenUsed/>
    <w:qFormat/>
    <w:rsid w:val="00721A26"/>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721A26"/>
    <w:rPr>
      <w:sz w:val="18"/>
      <w:szCs w:val="18"/>
    </w:rPr>
  </w:style>
  <w:style w:type="paragraph" w:styleId="11">
    <w:name w:val="toc 1"/>
    <w:basedOn w:val="a"/>
    <w:next w:val="a"/>
    <w:uiPriority w:val="39"/>
    <w:unhideWhenUsed/>
    <w:qFormat/>
    <w:rsid w:val="00721A26"/>
  </w:style>
  <w:style w:type="paragraph" w:styleId="a8">
    <w:name w:val="footnote text"/>
    <w:basedOn w:val="a"/>
    <w:link w:val="a9"/>
    <w:uiPriority w:val="99"/>
    <w:semiHidden/>
    <w:unhideWhenUsed/>
    <w:qFormat/>
    <w:rsid w:val="00721A26"/>
    <w:pPr>
      <w:snapToGrid w:val="0"/>
      <w:jc w:val="left"/>
    </w:pPr>
    <w:rPr>
      <w:sz w:val="18"/>
      <w:szCs w:val="18"/>
    </w:rPr>
  </w:style>
  <w:style w:type="character" w:customStyle="1" w:styleId="a9">
    <w:name w:val="脚注文本 字符"/>
    <w:basedOn w:val="a0"/>
    <w:link w:val="a8"/>
    <w:uiPriority w:val="99"/>
    <w:semiHidden/>
    <w:rsid w:val="00721A26"/>
    <w:rPr>
      <w:sz w:val="18"/>
      <w:szCs w:val="18"/>
    </w:rPr>
  </w:style>
  <w:style w:type="paragraph" w:styleId="21">
    <w:name w:val="toc 2"/>
    <w:basedOn w:val="a"/>
    <w:next w:val="a"/>
    <w:uiPriority w:val="39"/>
    <w:unhideWhenUsed/>
    <w:qFormat/>
    <w:rsid w:val="00721A26"/>
    <w:pPr>
      <w:ind w:leftChars="200" w:left="420"/>
    </w:pPr>
  </w:style>
  <w:style w:type="character" w:styleId="aa">
    <w:name w:val="Strong"/>
    <w:basedOn w:val="a0"/>
    <w:uiPriority w:val="22"/>
    <w:qFormat/>
    <w:rsid w:val="00721A26"/>
    <w:rPr>
      <w:b/>
      <w:bCs/>
    </w:rPr>
  </w:style>
  <w:style w:type="character" w:styleId="ab">
    <w:name w:val="Hyperlink"/>
    <w:basedOn w:val="a0"/>
    <w:uiPriority w:val="99"/>
    <w:unhideWhenUsed/>
    <w:qFormat/>
    <w:rsid w:val="00721A26"/>
    <w:rPr>
      <w:color w:val="0563C1" w:themeColor="hyperlink"/>
      <w:u w:val="single"/>
    </w:rPr>
  </w:style>
  <w:style w:type="character" w:styleId="ac">
    <w:name w:val="footnote reference"/>
    <w:basedOn w:val="a0"/>
    <w:uiPriority w:val="99"/>
    <w:semiHidden/>
    <w:unhideWhenUsed/>
    <w:qFormat/>
    <w:rsid w:val="00721A26"/>
    <w:rPr>
      <w:vertAlign w:val="superscript"/>
    </w:rPr>
  </w:style>
  <w:style w:type="table" w:styleId="ad">
    <w:name w:val="Table Grid"/>
    <w:basedOn w:val="a1"/>
    <w:uiPriority w:val="59"/>
    <w:rsid w:val="00721A26"/>
    <w:rPr>
      <w:kern w:val="0"/>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e">
    <w:name w:val="List Paragraph"/>
    <w:basedOn w:val="a"/>
    <w:uiPriority w:val="34"/>
    <w:qFormat/>
    <w:rsid w:val="00721A26"/>
    <w:pPr>
      <w:ind w:firstLineChars="200" w:firstLine="420"/>
    </w:pPr>
  </w:style>
  <w:style w:type="paragraph" w:customStyle="1" w:styleId="TableParagraph">
    <w:name w:val="Table Paragraph"/>
    <w:basedOn w:val="a"/>
    <w:uiPriority w:val="1"/>
    <w:qFormat/>
    <w:rsid w:val="00721A26"/>
    <w:pPr>
      <w:jc w:val="left"/>
    </w:pPr>
    <w:rPr>
      <w:rFonts w:ascii="Calibri" w:eastAsia="宋体" w:hAnsi="Calibri" w:cs="Times New Roman"/>
      <w:kern w:val="0"/>
      <w:sz w:val="22"/>
      <w:lang w:eastAsia="en-US"/>
    </w:rPr>
  </w:style>
  <w:style w:type="paragraph" w:customStyle="1" w:styleId="Default">
    <w:name w:val="Default"/>
    <w:qFormat/>
    <w:rsid w:val="00721A26"/>
    <w:pPr>
      <w:widowControl w:val="0"/>
      <w:autoSpaceDE w:val="0"/>
      <w:autoSpaceDN w:val="0"/>
      <w:adjustRightInd w:val="0"/>
    </w:pPr>
    <w:rPr>
      <w:rFonts w:ascii="宋体" w:hAnsi="宋体" w:cs="宋体"/>
      <w:color w:val="000000"/>
      <w:kern w:val="0"/>
      <w:sz w:val="24"/>
      <w:szCs w:val="24"/>
    </w:rPr>
  </w:style>
  <w:style w:type="paragraph" w:customStyle="1" w:styleId="TOC1">
    <w:name w:val="TOC 标题1"/>
    <w:basedOn w:val="1"/>
    <w:next w:val="a"/>
    <w:uiPriority w:val="39"/>
    <w:unhideWhenUsed/>
    <w:qFormat/>
    <w:rsid w:val="00721A26"/>
    <w:pPr>
      <w:widowControl/>
      <w:spacing w:before="240" w:after="0" w:line="259" w:lineRule="auto"/>
      <w:jc w:val="left"/>
      <w:outlineLvl w:val="9"/>
    </w:pPr>
    <w:rPr>
      <w:rFonts w:asciiTheme="majorHAnsi" w:eastAsiaTheme="majorEastAsia" w:hAnsiTheme="majorHAnsi" w:cstheme="majorBidi"/>
      <w:b w:val="0"/>
      <w:color w:val="2E74B5" w:themeColor="accent1" w:themeShade="BF"/>
      <w:kern w:val="0"/>
      <w:sz w:val="32"/>
      <w:szCs w:val="32"/>
    </w:rPr>
  </w:style>
  <w:style w:type="paragraph" w:styleId="af">
    <w:name w:val="No Spacing"/>
    <w:uiPriority w:val="1"/>
    <w:qFormat/>
    <w:rsid w:val="00721A26"/>
    <w:pPr>
      <w:widowControl w:val="0"/>
      <w:jc w:val="both"/>
    </w:pPr>
    <w:rPr>
      <w:rFonts w:ascii="Calibri" w:eastAsia="宋体" w:hAnsi="Calibri" w:cs="Times New Roman"/>
    </w:rPr>
  </w:style>
  <w:style w:type="paragraph" w:customStyle="1" w:styleId="12">
    <w:name w:val="脚注文本1"/>
    <w:basedOn w:val="a"/>
    <w:next w:val="a8"/>
    <w:uiPriority w:val="99"/>
    <w:unhideWhenUsed/>
    <w:qFormat/>
    <w:rsid w:val="00721A26"/>
    <w:pPr>
      <w:snapToGrid w:val="0"/>
      <w:jc w:val="left"/>
    </w:pPr>
    <w:rPr>
      <w:sz w:val="18"/>
      <w:szCs w:val="18"/>
    </w:rPr>
  </w:style>
  <w:style w:type="character" w:customStyle="1" w:styleId="apple-converted-space">
    <w:name w:val="apple-converted-space"/>
    <w:basedOn w:val="a0"/>
    <w:qFormat/>
    <w:rsid w:val="00721A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1634</Words>
  <Characters>9314</Characters>
  <Application>Microsoft Office Word</Application>
  <DocSecurity>0</DocSecurity>
  <Lines>77</Lines>
  <Paragraphs>21</Paragraphs>
  <ScaleCrop>false</ScaleCrop>
  <Company/>
  <LinksUpToDate>false</LinksUpToDate>
  <CharactersWithSpaces>10927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2020-11-19T01:22:00Z</dcterms:created>
  <dcterms:modified xsi:type="dcterms:W3CDTF">2020-11-19T01:23:00Z</dcterms:modified>
</cp:coreProperties>
</file>