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kinsoku/>
        <w:autoSpaceDE/>
        <w:autoSpaceDN/>
        <w:adjustRightInd/>
        <w:snapToGrid/>
        <w:spacing w:before="0" w:beforeAutospacing="0" w:after="120" w:afterLines="50" w:afterAutospacing="0" w:line="400" w:lineRule="exact"/>
        <w:jc w:val="center"/>
        <w:textAlignment w:val="auto"/>
        <w:rPr>
          <w:rFonts w:hint="eastAsia" w:ascii="方正小标宋简体" w:hAnsi="Times New Roman" w:eastAsia="方正小标宋简体" w:cs="Times New Roman"/>
          <w:b/>
          <w:snapToGrid/>
          <w:color w:val="000000"/>
          <w:kern w:val="2"/>
          <w:sz w:val="36"/>
          <w:szCs w:val="36"/>
          <w:lang w:eastAsia="zh-CN"/>
        </w:rPr>
      </w:pPr>
      <w:r>
        <w:rPr>
          <w:rFonts w:hint="eastAsia" w:ascii="方正小标宋简体" w:hAnsi="Times New Roman" w:eastAsia="方正小标宋简体" w:cs="Times New Roman"/>
          <w:b/>
          <w:snapToGrid/>
          <w:color w:val="000000"/>
          <w:kern w:val="2"/>
          <w:sz w:val="36"/>
          <w:szCs w:val="36"/>
          <w:lang w:eastAsia="zh-CN"/>
        </w:rPr>
        <w:t>《水污染控制工程（A2）》教学大纲</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一、课程基本信息</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课程编号： 213103018613</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中文名称： 水污染控制工程（A2）</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英文名称： Water Pollution Control Engineering（A2）</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适用专业： 环境工程</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课程类别： 专业必修</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开课时间： 第6学期</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总学时：   56学时</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总学分：   3.5学分</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二、课程简介</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根据环境工程专业对本科人才的培养要求，“水污染控制工程”被列为环境工程专业核心专业必修课。《水污染控制工程（A2）》主要介绍污水处理中常用的技术、方法及工艺，将污水处理技术原理和 工艺设计计算紧密结合，并对常用的水处理工艺进行系统介绍。该课程能反映污水处理技术的进展， 有利于学生对相关知识的全面掌握及应用。课程充分体现基础性、系统性、实践性和创新性，同时也 反映了强化学生实践能力、创新能力和就业能力的培养目标，以适应环境工程相关事业发展对人才的新要求。</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三、相关课程的衔接</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水污染控制工程（A2）》与“环境工程微生物学”、“环境监测”、“水污染控制工程(A1)”等课程密切相关，这些课程是学习“水污染控制工程（A2）”的预修课程，“水污染控制工程实验”是“水污染控制工程（A2）”的并修课程。</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预修课程：环境工程微生物学、环境监测B、水污染控制工程（A1）</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并修课程：水污染控制工程实验</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四、教学的目的、要求与方法</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1.教学目标</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通过本课程的学习，使学生掌握常用的污水处理方法及技术的原理，掌握污水处理设备及构筑物 的工作原理及技术性能，掌握污水处理中常规构筑物的设计计算， 具备污水工艺设计的能力。通过该课程的学习，为未来从事污水处理工程设计及相关科学研究工作奠定基础。课程教学目标如下：</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sectPr>
          <w:headerReference r:id="rId5" w:type="default"/>
          <w:pgSz w:w="11907" w:h="16839"/>
          <w:pgMar w:top="1125" w:right="1274" w:bottom="0" w:left="1274" w:header="1111" w:footer="0" w:gutter="0"/>
          <w:cols w:space="720" w:num="1"/>
        </w:sectPr>
      </w:pPr>
    </w:p>
    <w:p>
      <w:pPr>
        <w:jc w:val="center"/>
      </w:pPr>
      <w:r>
        <w:rPr>
          <w:rFonts w:hint="eastAsia" w:ascii="宋体" w:hAnsi="宋体" w:eastAsia="宋体" w:cs="宋体"/>
        </w:rPr>
        <w:t>表1  教学目标及权重因子</w:t>
      </w:r>
    </w:p>
    <w:tbl>
      <w:tblPr>
        <w:tblStyle w:val="8"/>
        <w:tblW w:w="95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8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1115"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目标 D1</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（0.30）</w:t>
            </w:r>
          </w:p>
        </w:tc>
        <w:tc>
          <w:tcPr>
            <w:tcW w:w="8404" w:type="dxa"/>
            <w:vAlign w:val="center"/>
          </w:tcPr>
          <w:p>
            <w:pPr>
              <w:ind w:firstLine="360" w:firstLineChars="200"/>
              <w:jc w:val="left"/>
              <w:rPr>
                <w:rFonts w:hint="eastAsia" w:ascii="宋体" w:hAnsi="宋体" w:eastAsia="宋体" w:cs="宋体"/>
                <w:sz w:val="18"/>
                <w:szCs w:val="18"/>
              </w:rPr>
            </w:pPr>
            <w:r>
              <w:rPr>
                <w:rFonts w:hint="eastAsia" w:ascii="宋体" w:hAnsi="宋体" w:eastAsia="宋体" w:cs="宋体"/>
                <w:sz w:val="18"/>
                <w:szCs w:val="18"/>
              </w:rPr>
              <w:t>能够理解污水处理技术的基本原理，并结合污水处理设备、构筑物、工艺的性能，将污水处理技术用于污水处理及水污染防治的工艺设计、运行管理、技术改进中。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115"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目标 D2</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（0.40）</w:t>
            </w:r>
          </w:p>
        </w:tc>
        <w:tc>
          <w:tcPr>
            <w:tcW w:w="8404" w:type="dxa"/>
            <w:vAlign w:val="center"/>
          </w:tcPr>
          <w:p>
            <w:pPr>
              <w:ind w:firstLine="360" w:firstLineChars="200"/>
              <w:jc w:val="left"/>
              <w:rPr>
                <w:rFonts w:hint="eastAsia" w:ascii="宋体" w:hAnsi="宋体" w:eastAsia="宋体" w:cs="宋体"/>
                <w:sz w:val="18"/>
                <w:szCs w:val="18"/>
              </w:rPr>
            </w:pPr>
            <w:r>
              <w:rPr>
                <w:rFonts w:hint="eastAsia" w:ascii="宋体" w:hAnsi="宋体" w:eastAsia="宋体" w:cs="宋体"/>
                <w:sz w:val="18"/>
                <w:szCs w:val="18"/>
              </w:rPr>
              <w:t>能够运用相关的理论知识，深入理解污水处理技术、工艺的特点，结合污水处理技术的进展，分析污水处理技术在应用过程中的影响因素并提出有效的改进措施。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115"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目标 D3</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（0.30）</w:t>
            </w:r>
          </w:p>
        </w:tc>
        <w:tc>
          <w:tcPr>
            <w:tcW w:w="8404" w:type="dxa"/>
            <w:vAlign w:val="center"/>
          </w:tcPr>
          <w:p>
            <w:pPr>
              <w:ind w:firstLine="360" w:firstLineChars="200"/>
              <w:jc w:val="left"/>
              <w:rPr>
                <w:rFonts w:hint="eastAsia" w:ascii="宋体" w:hAnsi="宋体" w:eastAsia="宋体" w:cs="宋体"/>
                <w:sz w:val="18"/>
                <w:szCs w:val="18"/>
              </w:rPr>
            </w:pPr>
            <w:r>
              <w:rPr>
                <w:rFonts w:hint="eastAsia" w:ascii="宋体" w:hAnsi="宋体" w:eastAsia="宋体" w:cs="宋体"/>
                <w:sz w:val="18"/>
                <w:szCs w:val="18"/>
              </w:rPr>
              <w:t>能够根据污水特征及处理要求，运用污水处理技术的基本原理及相关专业知识，选择适当的处理方法与工艺，为水污染防治提出解决方案。</w:t>
            </w:r>
          </w:p>
        </w:tc>
      </w:tr>
    </w:tbl>
    <w:p>
      <w:pPr>
        <w:ind w:firstLine="420" w:firstLineChars="200"/>
        <w:rPr>
          <w:rFonts w:hint="eastAsia" w:eastAsia="宋体"/>
          <w:lang w:val="en-US" w:eastAsia="zh-CN"/>
        </w:rPr>
      </w:pP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2.教学方法</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本课程教学环节包括：课堂讲授、课外作业。</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课堂讲授</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课堂讲授以多媒体教学软件为主，辅以相关的教学动画。以各知识点为中心，采用单元教学模式。 一个教学单元包括的内容有：问题的提出、可选的解决方案、涉及的理论知识、应用中所需解决的问 题及注意事项等。教学中，以待处理的污染物为切入点，继而引出教学内容，最后提出具体的实际问题，鼓励学生提出自己的解决方案， 提高学生将理论知识用于实践的能力。</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课外作业</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通过课后习题巩固课堂讲授的理论知识和相关计算方法，培养学生自学能力和分析问题解决问题的能力。</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五、课程教学对毕业要求指标点支撑贡献</w:t>
      </w:r>
    </w:p>
    <w:p>
      <w:pPr>
        <w:jc w:val="center"/>
      </w:pPr>
      <w:r>
        <w:t>表2   课程教学对毕业要求指标点支撑贡献</w:t>
      </w:r>
    </w:p>
    <w:tbl>
      <w:tblPr>
        <w:tblStyle w:val="8"/>
        <w:tblW w:w="9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6066"/>
        <w:gridCol w:w="1065"/>
        <w:gridCol w:w="12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1139"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毕业要求</w:t>
            </w:r>
          </w:p>
        </w:tc>
        <w:tc>
          <w:tcPr>
            <w:tcW w:w="6066"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指标点</w:t>
            </w:r>
          </w:p>
        </w:tc>
        <w:tc>
          <w:tcPr>
            <w:tcW w:w="1065"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支撑强度</w:t>
            </w:r>
          </w:p>
        </w:tc>
        <w:tc>
          <w:tcPr>
            <w:tcW w:w="1249"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对应教学目标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13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1-工程知识</w:t>
            </w:r>
          </w:p>
        </w:tc>
        <w:tc>
          <w:tcPr>
            <w:tcW w:w="6066" w:type="dxa"/>
            <w:vAlign w:val="center"/>
          </w:tcPr>
          <w:p>
            <w:pPr>
              <w:ind w:firstLine="360" w:firstLineChars="200"/>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4能将水、气、固及物理性污染控制等环境工程专业知识用于环境污染防治 工艺的设计、系统的控制和改进中。</w:t>
            </w:r>
          </w:p>
        </w:tc>
        <w:tc>
          <w:tcPr>
            <w:tcW w:w="106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H</w:t>
            </w:r>
          </w:p>
        </w:tc>
        <w:tc>
          <w:tcPr>
            <w:tcW w:w="124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3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2-问题分析</w:t>
            </w:r>
          </w:p>
        </w:tc>
        <w:tc>
          <w:tcPr>
            <w:tcW w:w="6066" w:type="dxa"/>
            <w:vAlign w:val="center"/>
          </w:tcPr>
          <w:p>
            <w:pPr>
              <w:ind w:firstLine="360" w:firstLineChars="200"/>
              <w:jc w:val="left"/>
              <w:rPr>
                <w:rFonts w:hint="eastAsia" w:ascii="宋体" w:hAnsi="宋体" w:eastAsia="宋体" w:cs="宋体"/>
                <w:sz w:val="18"/>
                <w:szCs w:val="18"/>
              </w:rPr>
            </w:pPr>
            <w:r>
              <w:rPr>
                <w:rFonts w:hint="eastAsia" w:ascii="宋体" w:hAnsi="宋体" w:eastAsia="宋体" w:cs="宋体"/>
                <w:sz w:val="18"/>
                <w:szCs w:val="18"/>
              </w:rPr>
              <w:t>2.3 能够运用环境工程相关的基础理论和知识结合文献分析环境污染防治过 程的影响因素及采用相关技术，并获得有效结论。</w:t>
            </w:r>
          </w:p>
        </w:tc>
        <w:tc>
          <w:tcPr>
            <w:tcW w:w="106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H</w:t>
            </w:r>
          </w:p>
        </w:tc>
        <w:tc>
          <w:tcPr>
            <w:tcW w:w="124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113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3-设计/开发解决方案</w:t>
            </w:r>
          </w:p>
        </w:tc>
        <w:tc>
          <w:tcPr>
            <w:tcW w:w="6066" w:type="dxa"/>
            <w:vAlign w:val="center"/>
          </w:tcPr>
          <w:p>
            <w:pPr>
              <w:ind w:firstLine="360" w:firstLineChars="200"/>
              <w:jc w:val="left"/>
              <w:rPr>
                <w:rFonts w:hint="eastAsia" w:ascii="宋体" w:hAnsi="宋体" w:eastAsia="宋体" w:cs="宋体"/>
                <w:sz w:val="18"/>
                <w:szCs w:val="18"/>
                <w:lang w:eastAsia="zh-CN"/>
              </w:rPr>
            </w:pPr>
            <w:r>
              <w:rPr>
                <w:rFonts w:hint="eastAsia" w:ascii="宋体" w:hAnsi="宋体" w:eastAsia="宋体" w:cs="宋体"/>
                <w:sz w:val="18"/>
                <w:szCs w:val="18"/>
              </w:rPr>
              <w:t>3.1能够根据环境污染的特征和要求提出复杂环境问题的解决方案</w:t>
            </w:r>
            <w:r>
              <w:rPr>
                <w:rFonts w:hint="eastAsia" w:ascii="宋体" w:hAnsi="宋体" w:eastAsia="宋体" w:cs="宋体"/>
                <w:sz w:val="18"/>
                <w:szCs w:val="18"/>
                <w:lang w:eastAsia="zh-CN"/>
              </w:rPr>
              <w:t>。</w:t>
            </w:r>
          </w:p>
        </w:tc>
        <w:tc>
          <w:tcPr>
            <w:tcW w:w="106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H</w:t>
            </w:r>
          </w:p>
        </w:tc>
        <w:tc>
          <w:tcPr>
            <w:tcW w:w="124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D3</w:t>
            </w:r>
          </w:p>
        </w:tc>
      </w:tr>
    </w:tbl>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六、课程教学内容、学时分配及对课程目标的达成贡献</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sectPr>
          <w:headerReference r:id="rId6" w:type="default"/>
          <w:pgSz w:w="11907" w:h="16839"/>
          <w:pgMar w:top="1125" w:right="1190" w:bottom="0" w:left="1190" w:header="1111" w:footer="0" w:gutter="0"/>
          <w:cols w:space="720" w:num="1"/>
        </w:sectPr>
      </w:pPr>
    </w:p>
    <w:p>
      <w:pPr>
        <w:jc w:val="center"/>
      </w:pPr>
      <w:r>
        <w:t>表3   教学内容、学时分配对课程目标的贡献</w:t>
      </w:r>
    </w:p>
    <w:tbl>
      <w:tblPr>
        <w:tblStyle w:val="8"/>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295"/>
        <w:gridCol w:w="396"/>
        <w:gridCol w:w="3150"/>
        <w:gridCol w:w="3212"/>
        <w:gridCol w:w="10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32" w:type="dxa"/>
            <w:textDirection w:val="tbRlV"/>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序 号</w:t>
            </w:r>
          </w:p>
        </w:tc>
        <w:tc>
          <w:tcPr>
            <w:tcW w:w="1295"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教学内容</w:t>
            </w:r>
          </w:p>
        </w:tc>
        <w:tc>
          <w:tcPr>
            <w:tcW w:w="396" w:type="dxa"/>
            <w:textDirection w:val="tbRlV"/>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学 时 分 配</w:t>
            </w:r>
          </w:p>
        </w:tc>
        <w:tc>
          <w:tcPr>
            <w:tcW w:w="3150"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教学组织</w:t>
            </w:r>
          </w:p>
        </w:tc>
        <w:tc>
          <w:tcPr>
            <w:tcW w:w="3212"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能力培养</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教学要求</w:t>
            </w:r>
          </w:p>
        </w:tc>
        <w:tc>
          <w:tcPr>
            <w:tcW w:w="1034"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支撑课程</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污水水质和污 水出路</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讲解污水类型及水质特征，污水出路与排放标准</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要求了解污水分类及特征，了解污水水 质指标</w:t>
            </w:r>
            <w:r>
              <w:rPr>
                <w:rFonts w:hint="eastAsia" w:ascii="宋体" w:hAnsi="宋体" w:eastAsia="宋体" w:cs="宋体"/>
                <w:sz w:val="18"/>
                <w:szCs w:val="18"/>
                <w:lang w:eastAsia="zh-CN"/>
              </w:rPr>
              <w:t>；</w:t>
            </w:r>
            <w:r>
              <w:rPr>
                <w:rFonts w:hint="eastAsia" w:ascii="宋体" w:hAnsi="宋体" w:eastAsia="宋体" w:cs="宋体"/>
                <w:sz w:val="18"/>
                <w:szCs w:val="18"/>
              </w:rPr>
              <w:t>了解污水出路及排放标准</w:t>
            </w:r>
          </w:p>
        </w:tc>
        <w:tc>
          <w:tcPr>
            <w:tcW w:w="1034" w:type="dxa"/>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D1/D3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1295" w:type="dxa"/>
            <w:vAlign w:val="center"/>
          </w:tcPr>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r>
              <w:rPr>
                <w:rFonts w:hint="eastAsia" w:ascii="宋体" w:hAnsi="宋体" w:eastAsia="宋体" w:cs="宋体"/>
                <w:sz w:val="18"/>
                <w:szCs w:val="18"/>
              </w:rPr>
              <w:t>污水的物理处 理</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3150" w:type="dxa"/>
            <w:vAlign w:val="center"/>
          </w:tcPr>
          <w:p>
            <w:pPr>
              <w:jc w:val="left"/>
              <w:rPr>
                <w:rFonts w:hint="eastAsia" w:ascii="宋体" w:hAnsi="宋体" w:eastAsia="宋体" w:cs="宋体"/>
                <w:sz w:val="18"/>
                <w:szCs w:val="18"/>
              </w:rPr>
            </w:pPr>
          </w:p>
          <w:p>
            <w:pPr>
              <w:jc w:val="left"/>
              <w:rPr>
                <w:rFonts w:hint="eastAsia" w:ascii="宋体" w:hAnsi="宋体" w:eastAsia="宋体" w:cs="宋体"/>
                <w:sz w:val="18"/>
                <w:szCs w:val="18"/>
              </w:rPr>
            </w:pPr>
            <w:r>
              <w:rPr>
                <w:rFonts w:hint="eastAsia" w:ascii="宋体" w:hAnsi="宋体" w:eastAsia="宋体" w:cs="宋体"/>
                <w:sz w:val="18"/>
                <w:szCs w:val="18"/>
              </w:rPr>
              <w:t>结合教学动画讲解格栅和筛网、沉淀的理论基础、沉砂池、沉淀池、隔油池、气浮池</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掌握格栅和筛网的作用、分类、设计计算方法；掌握沉淀的理论基础；沉砂池、沉淀池、隔油池、气浮池的工作原理、分类、特征、设计规范，掌握设备及构筑物选型时考虑因素</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污水生物处理 的基本概念和 生化反应动力 学基础</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讲解污水生物处理分类、基本原理、微生物生长规律和生长环境、反应速率和级数、微生物生长与底物降解动力学</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掌握污水生物处理分类、好氧厌氧生物 处理机理、微生物生长规律及华景，了解生化反应动力学基础，掌握微生物增 长与底物降解之间的关系</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活性污泥法</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12</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讲解活性污泥的基本概念、活性污泥法的发展及常见工艺、讲解活性污泥法数学模型、讲解气体传递原理及曝气设备、活性污泥工艺设计计算、脱氮除磷机理及工艺、二沉池、活性污泥工艺运行管理</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要求了解活性污泥法的分类、掌握活性 污泥降解有机物的机理、工艺特点、设 计计算方法、曝气原理及设备、掌握脱 氮除磷机理及工艺、二沉池的工作过程 及设计、掌握活性污泥系统的设计、运 行和管理</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生物膜法</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讲解生物膜的结构及净化机理；讲解各生物膜法工艺的流程、特点、设计计算、运行</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要求掌握生物膜净化污染物机理；掌握 各生物膜法工艺的工作过程及特点，可 根据处理对象特征选择合适的工艺</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稳定塘和污水 的土地处理</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降解稳定塘、土地处理、人工湿地的污染物去除机理及工艺</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要求掌握稳定塘、土地处理、人工湿地 的污染物去除机理及常见工艺</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污水的厌氧生 物处理</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讲解污水厌氧生物处理的机理及工艺</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要求掌握厌氧生物处理的机理及各工艺过程及特点</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污水的化学与 物理化学处理</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讲解中合法、化学混凝法、化学沉淀法、吸附法、离子交换法、萃取法、膜析法及超临界处理技术</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要求掌握各种方法的原理及处理对象、工艺过程等</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9</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城市污水回用</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讲解污水回用系统及回用处理技术</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要求了解污水回用系统及处理技术方法；了解污水回用安全措施</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污泥的处理与 处置</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讲解污泥的来源及特性；讲解污泥的处理方法及工艺</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要求掌握污泥的特性及各处理方法的原理及工艺设计</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D1/D2/D3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32"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p>
        </w:tc>
        <w:tc>
          <w:tcPr>
            <w:tcW w:w="129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污水处理厂设 计</w:t>
            </w:r>
          </w:p>
        </w:tc>
        <w:tc>
          <w:tcPr>
            <w:tcW w:w="39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315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讲解污水处理厂设计的工作步骤及运行</w:t>
            </w:r>
          </w:p>
        </w:tc>
        <w:tc>
          <w:tcPr>
            <w:tcW w:w="321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要求了解污水处理厂设计的内容及步骤；了解污水处理厂运行的工作内容</w:t>
            </w:r>
          </w:p>
        </w:tc>
        <w:tc>
          <w:tcPr>
            <w:tcW w:w="103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D3</w:t>
            </w:r>
          </w:p>
        </w:tc>
      </w:tr>
    </w:tbl>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eastAsia="zh-CN"/>
        </w:rPr>
        <w:t>七、课程思政</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1.“课程思政”教育内容</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1.1 价值观教育：课堂教学中融入“和谐、诚信、敬业”等理念，引导学生建立正确的人生价值观。</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1.2 生态文明教育：将生态文明渗透到课堂教学中，培养学生正确的生态文明观。</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sectPr>
          <w:pgSz w:w="11907" w:h="16839"/>
          <w:pgMar w:top="1125" w:right="1190" w:bottom="0" w:left="1190" w:header="1111" w:footer="0" w:gutter="0"/>
          <w:cols w:space="720" w:num="1"/>
        </w:sectPr>
      </w:pP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1.3 职业素养教育：在教学、讨论等过程中，帮助学生树立专业使命感及责任感，培养学生的沟通协调能力、团队意识等，提升职业素养。</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2.教学环节设计</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2.1 在第一章教学中，通过图片、数据表格等形式向学生展示我国水污染现状，让学生了解我国水污染的严峻形势及水污染控制的必要性和紧迫性，树立学生的专业使命感；从我国水污染现状切入介</w:t>
      </w:r>
      <w:bookmarkStart w:id="0" w:name="_GoBack"/>
      <w:bookmarkEnd w:id="0"/>
      <w:r>
        <w:rPr>
          <w:rFonts w:hint="eastAsia" w:ascii="宋体" w:hAnsi="宋体" w:eastAsia="宋体" w:cs="Times New Roman"/>
          <w:snapToGrid/>
          <w:color w:val="000000"/>
          <w:kern w:val="2"/>
          <w:sz w:val="24"/>
          <w:szCs w:val="20"/>
          <w:lang w:val="en-US" w:eastAsia="zh-CN"/>
        </w:rPr>
        <w:t>绍我国当前水环境保护的重大战略部署如“长江大保护”等，让学生清楚我国“生态文明建设”、“绿色发展”、“绿水青山就是金山银山”等发展理念。</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2.2 在“污水排放标准”教学内容中，扩展介绍我国“水污染防治”相关法律法规，引导学生去了解我国“排污许可制度”及“六位一体生态环境管理体系”。</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2.3 在教学过程中，说明该课程的能力培养目标，让学生清楚通过课程学习达到能力培养目标之后可以解决的实际问题及可以为我国环保环保事业发挥的作用，以结果为导向树立学生的专业自豪感，从而强化学习动力提高学习效果。在教学、讨论等过程中，培养学生的沟通协调能力、团队意识等，提升职业素养。</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2.4 在“污水处理厂运行和控制“相关教学内容中契入我国相关环境管理规范，结合当前社会上出现的环境污染治理相关的违法事件、环境污染事故等，强调遵守规则及诚信的重要性，引导学生树立正确的人生价值观，树立学生作为一个环保人的专业责任感及社会责任感。</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eastAsia="zh-CN"/>
        </w:rPr>
      </w:pPr>
      <w:r>
        <w:rPr>
          <w:rFonts w:hint="eastAsia" w:ascii="黑体" w:hAnsi="黑体" w:eastAsia="黑体" w:cs="Times New Roman"/>
          <w:b/>
          <w:snapToGrid/>
          <w:color w:val="000000"/>
          <w:kern w:val="2"/>
          <w:lang w:val="en-US" w:eastAsia="zh-CN"/>
        </w:rPr>
        <w:t>八、考核方</w:t>
      </w:r>
      <w:r>
        <w:rPr>
          <w:rFonts w:hint="eastAsia" w:ascii="黑体" w:hAnsi="黑体" w:eastAsia="黑体" w:cs="Times New Roman"/>
          <w:b/>
          <w:snapToGrid/>
          <w:color w:val="000000"/>
          <w:kern w:val="2"/>
          <w:lang w:eastAsia="zh-CN"/>
        </w:rPr>
        <w:t>式及成绩评定方式</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1.考核方式</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过程考核和期末考试相结合，过程考核包括课堂表现和平时作业；期末考试的考核方式为笔试（闭卷）。考核成绩的构成：总成绩为100%，其中过程考核（包括课堂测验、平时作业和课堂表现等方面）成绩占50%，期末成绩占50%。</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2.评分标准</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各考核方式的重点考核内容、评价标准、所占比重及对应支撑的课程目标如下表 4 所示：</w:t>
      </w:r>
    </w:p>
    <w:p>
      <w:pPr>
        <w:jc w:val="center"/>
        <w:rPr>
          <w:rFonts w:hint="eastAsia" w:ascii="宋体" w:hAnsi="宋体" w:eastAsia="宋体" w:cs="宋体"/>
        </w:rPr>
      </w:pPr>
      <w:r>
        <w:rPr>
          <w:rFonts w:hint="eastAsia" w:ascii="宋体" w:hAnsi="宋体" w:eastAsia="宋体" w:cs="宋体"/>
        </w:rPr>
        <w:t>表 4  课程对学生的考核内容、考核方式与课程目标的要求的匹配性</w:t>
      </w:r>
    </w:p>
    <w:tbl>
      <w:tblPr>
        <w:tblStyle w:val="8"/>
        <w:tblW w:w="9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53"/>
        <w:gridCol w:w="3570"/>
        <w:gridCol w:w="3008"/>
        <w:gridCol w:w="1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679"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考核</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方式</w:t>
            </w:r>
          </w:p>
        </w:tc>
        <w:tc>
          <w:tcPr>
            <w:tcW w:w="753"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所占</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比重</w:t>
            </w:r>
          </w:p>
        </w:tc>
        <w:tc>
          <w:tcPr>
            <w:tcW w:w="3570"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重点考察内容</w:t>
            </w:r>
          </w:p>
        </w:tc>
        <w:tc>
          <w:tcPr>
            <w:tcW w:w="3008"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评价标准</w:t>
            </w:r>
          </w:p>
        </w:tc>
        <w:tc>
          <w:tcPr>
            <w:tcW w:w="1509"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支撑的课程目标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jc w:val="center"/>
        </w:trPr>
        <w:tc>
          <w:tcPr>
            <w:tcW w:w="67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课堂</w:t>
            </w:r>
          </w:p>
          <w:p>
            <w:pPr>
              <w:jc w:val="center"/>
              <w:rPr>
                <w:rFonts w:hint="eastAsia" w:ascii="宋体" w:hAnsi="宋体" w:eastAsia="宋体" w:cs="宋体"/>
                <w:sz w:val="18"/>
                <w:szCs w:val="18"/>
              </w:rPr>
            </w:pPr>
            <w:r>
              <w:rPr>
                <w:rFonts w:hint="eastAsia" w:ascii="宋体" w:hAnsi="宋体" w:eastAsia="宋体" w:cs="宋体"/>
                <w:sz w:val="18"/>
                <w:szCs w:val="18"/>
              </w:rPr>
              <w:t>表现</w:t>
            </w:r>
          </w:p>
        </w:tc>
        <w:tc>
          <w:tcPr>
            <w:tcW w:w="7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357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主要考察学生课堂出勤率及课堂表现</w:t>
            </w:r>
          </w:p>
        </w:tc>
        <w:tc>
          <w:tcPr>
            <w:tcW w:w="3008" w:type="dxa"/>
            <w:vAlign w:val="center"/>
          </w:tcPr>
          <w:p>
            <w:pPr>
              <w:jc w:val="both"/>
              <w:rPr>
                <w:rFonts w:hint="eastAsia" w:ascii="宋体" w:hAnsi="宋体" w:eastAsia="宋体" w:cs="宋体"/>
                <w:sz w:val="18"/>
                <w:szCs w:val="18"/>
              </w:rPr>
            </w:pPr>
            <w:r>
              <w:rPr>
                <w:rFonts w:hint="eastAsia" w:ascii="宋体" w:hAnsi="宋体" w:eastAsia="宋体" w:cs="宋体"/>
                <w:sz w:val="18"/>
                <w:szCs w:val="18"/>
              </w:rPr>
              <w:t>依据课堂出勤记录和课堂讨论及提  问的参与度，按100分制评分，取平 均值乘以其在总评成绩中所占的比  例（10%）计入课程总评成绩。</w:t>
            </w:r>
          </w:p>
        </w:tc>
        <w:tc>
          <w:tcPr>
            <w:tcW w:w="150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课程目标 1</w:t>
            </w:r>
          </w:p>
          <w:p>
            <w:pPr>
              <w:jc w:val="center"/>
              <w:rPr>
                <w:rFonts w:hint="eastAsia" w:ascii="宋体" w:hAnsi="宋体" w:eastAsia="宋体" w:cs="宋体"/>
                <w:sz w:val="18"/>
                <w:szCs w:val="18"/>
              </w:rPr>
            </w:pPr>
            <w:r>
              <w:rPr>
                <w:rFonts w:hint="eastAsia" w:ascii="宋体" w:hAnsi="宋体" w:eastAsia="宋体" w:cs="宋体"/>
                <w:sz w:val="18"/>
                <w:szCs w:val="18"/>
              </w:rPr>
              <w:t>课程目标 2</w:t>
            </w:r>
          </w:p>
          <w:p>
            <w:pPr>
              <w:jc w:val="center"/>
              <w:rPr>
                <w:rFonts w:hint="eastAsia" w:ascii="宋体" w:hAnsi="宋体" w:eastAsia="宋体" w:cs="宋体"/>
                <w:sz w:val="18"/>
                <w:szCs w:val="18"/>
              </w:rPr>
            </w:pPr>
            <w:r>
              <w:rPr>
                <w:rFonts w:hint="eastAsia" w:ascii="宋体" w:hAnsi="宋体" w:eastAsia="宋体" w:cs="宋体"/>
                <w:sz w:val="18"/>
                <w:szCs w:val="18"/>
              </w:rPr>
              <w:t>课程目标 3</w:t>
            </w:r>
          </w:p>
        </w:tc>
      </w:tr>
    </w:tbl>
    <w:p/>
    <w:p>
      <w:pPr>
        <w:sectPr>
          <w:pgSz w:w="11907" w:h="16839"/>
          <w:pgMar w:top="1125" w:right="1190" w:bottom="0" w:left="1190" w:header="1111" w:footer="0" w:gutter="0"/>
          <w:cols w:space="720" w:num="1"/>
        </w:sectPr>
      </w:pPr>
    </w:p>
    <w:p/>
    <w:tbl>
      <w:tblPr>
        <w:tblStyle w:val="8"/>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53"/>
        <w:gridCol w:w="3570"/>
        <w:gridCol w:w="3008"/>
        <w:gridCol w:w="1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7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课后</w:t>
            </w:r>
          </w:p>
          <w:p>
            <w:pPr>
              <w:jc w:val="center"/>
              <w:rPr>
                <w:rFonts w:hint="eastAsia" w:ascii="宋体" w:hAnsi="宋体" w:eastAsia="宋体" w:cs="宋体"/>
                <w:sz w:val="18"/>
                <w:szCs w:val="18"/>
              </w:rPr>
            </w:pPr>
            <w:r>
              <w:rPr>
                <w:rFonts w:hint="eastAsia" w:ascii="宋体" w:hAnsi="宋体" w:eastAsia="宋体" w:cs="宋体"/>
                <w:sz w:val="18"/>
                <w:szCs w:val="18"/>
              </w:rPr>
              <w:t>习题</w:t>
            </w:r>
          </w:p>
          <w:p>
            <w:pPr>
              <w:jc w:val="center"/>
              <w:rPr>
                <w:rFonts w:hint="eastAsia" w:ascii="宋体" w:hAnsi="宋体" w:eastAsia="宋体" w:cs="宋体"/>
                <w:sz w:val="18"/>
                <w:szCs w:val="18"/>
              </w:rPr>
            </w:pPr>
            <w:r>
              <w:rPr>
                <w:rFonts w:hint="eastAsia" w:ascii="宋体" w:hAnsi="宋体" w:eastAsia="宋体" w:cs="宋体"/>
                <w:sz w:val="18"/>
                <w:szCs w:val="18"/>
              </w:rPr>
              <w:t>及报</w:t>
            </w:r>
          </w:p>
          <w:p>
            <w:pPr>
              <w:jc w:val="center"/>
              <w:rPr>
                <w:rFonts w:hint="eastAsia" w:ascii="宋体" w:hAnsi="宋体" w:eastAsia="宋体" w:cs="宋体"/>
                <w:sz w:val="18"/>
                <w:szCs w:val="18"/>
              </w:rPr>
            </w:pPr>
            <w:r>
              <w:rPr>
                <w:rFonts w:hint="eastAsia" w:ascii="宋体" w:hAnsi="宋体" w:eastAsia="宋体" w:cs="宋体"/>
                <w:sz w:val="18"/>
                <w:szCs w:val="18"/>
              </w:rPr>
              <w:t>告</w:t>
            </w:r>
          </w:p>
        </w:tc>
        <w:tc>
          <w:tcPr>
            <w:tcW w:w="7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w:t>
            </w:r>
          </w:p>
        </w:tc>
        <w:tc>
          <w:tcPr>
            <w:tcW w:w="357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主要考核学生对章节基础知识点的复习、理 解和掌握程度，及相关知识点的应用</w:t>
            </w:r>
          </w:p>
        </w:tc>
        <w:tc>
          <w:tcPr>
            <w:tcW w:w="300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依据作业完整度、准确率， 课程报告 的思路、内容完整度、准确度，按100 分制评分， 乘以其在总评成绩中所占的比例（20%）计入课程总评成绩。</w:t>
            </w:r>
          </w:p>
        </w:tc>
        <w:tc>
          <w:tcPr>
            <w:tcW w:w="150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课程目标 1</w:t>
            </w:r>
          </w:p>
          <w:p>
            <w:pPr>
              <w:jc w:val="center"/>
              <w:rPr>
                <w:rFonts w:hint="eastAsia" w:ascii="宋体" w:hAnsi="宋体" w:eastAsia="宋体" w:cs="宋体"/>
                <w:sz w:val="18"/>
                <w:szCs w:val="18"/>
              </w:rPr>
            </w:pPr>
            <w:r>
              <w:rPr>
                <w:rFonts w:hint="eastAsia" w:ascii="宋体" w:hAnsi="宋体" w:eastAsia="宋体" w:cs="宋体"/>
                <w:sz w:val="18"/>
                <w:szCs w:val="18"/>
              </w:rPr>
              <w:t>课程目标 2</w:t>
            </w:r>
          </w:p>
          <w:p>
            <w:pPr>
              <w:jc w:val="center"/>
              <w:rPr>
                <w:rFonts w:hint="eastAsia" w:ascii="宋体" w:hAnsi="宋体" w:eastAsia="宋体" w:cs="宋体"/>
                <w:sz w:val="18"/>
                <w:szCs w:val="18"/>
              </w:rPr>
            </w:pPr>
            <w:r>
              <w:rPr>
                <w:rFonts w:hint="eastAsia" w:ascii="宋体" w:hAnsi="宋体" w:eastAsia="宋体" w:cs="宋体"/>
                <w:sz w:val="18"/>
                <w:szCs w:val="18"/>
              </w:rPr>
              <w:t>课程目标 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67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课堂</w:t>
            </w:r>
          </w:p>
          <w:p>
            <w:pPr>
              <w:jc w:val="center"/>
              <w:rPr>
                <w:rFonts w:hint="eastAsia" w:ascii="宋体" w:hAnsi="宋体" w:eastAsia="宋体" w:cs="宋体"/>
                <w:sz w:val="18"/>
                <w:szCs w:val="18"/>
              </w:rPr>
            </w:pPr>
            <w:r>
              <w:rPr>
                <w:rFonts w:hint="eastAsia" w:ascii="宋体" w:hAnsi="宋体" w:eastAsia="宋体" w:cs="宋体"/>
                <w:sz w:val="18"/>
                <w:szCs w:val="18"/>
              </w:rPr>
              <w:t>测验</w:t>
            </w:r>
          </w:p>
        </w:tc>
        <w:tc>
          <w:tcPr>
            <w:tcW w:w="7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w:t>
            </w:r>
          </w:p>
        </w:tc>
        <w:tc>
          <w:tcPr>
            <w:tcW w:w="357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主要考核学生对章节基础知识点的复习、理 解和掌握程度，及相关知识点的应用</w:t>
            </w:r>
          </w:p>
        </w:tc>
        <w:tc>
          <w:tcPr>
            <w:tcW w:w="300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依据学生课堂测验的成绩，每次课堂 测验按100分制单独评分，取平均值乘以其在总评成绩中所占的比例（20%）计入课程总评成绩。</w:t>
            </w:r>
          </w:p>
        </w:tc>
        <w:tc>
          <w:tcPr>
            <w:tcW w:w="150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课程目标 1</w:t>
            </w:r>
          </w:p>
          <w:p>
            <w:pPr>
              <w:jc w:val="center"/>
              <w:rPr>
                <w:rFonts w:hint="eastAsia" w:ascii="宋体" w:hAnsi="宋体" w:eastAsia="宋体" w:cs="宋体"/>
                <w:sz w:val="18"/>
                <w:szCs w:val="18"/>
              </w:rPr>
            </w:pPr>
            <w:r>
              <w:rPr>
                <w:rFonts w:hint="eastAsia" w:ascii="宋体" w:hAnsi="宋体" w:eastAsia="宋体" w:cs="宋体"/>
                <w:sz w:val="18"/>
                <w:szCs w:val="18"/>
              </w:rPr>
              <w:t>课程目标 2</w:t>
            </w:r>
          </w:p>
          <w:p>
            <w:pPr>
              <w:jc w:val="center"/>
              <w:rPr>
                <w:rFonts w:hint="eastAsia" w:ascii="宋体" w:hAnsi="宋体" w:eastAsia="宋体" w:cs="宋体"/>
                <w:sz w:val="18"/>
                <w:szCs w:val="18"/>
              </w:rPr>
            </w:pPr>
            <w:r>
              <w:rPr>
                <w:rFonts w:hint="eastAsia" w:ascii="宋体" w:hAnsi="宋体" w:eastAsia="宋体" w:cs="宋体"/>
                <w:sz w:val="18"/>
                <w:szCs w:val="18"/>
              </w:rPr>
              <w:t>课程目标 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67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期末</w:t>
            </w:r>
          </w:p>
          <w:p>
            <w:pPr>
              <w:jc w:val="center"/>
              <w:rPr>
                <w:rFonts w:hint="eastAsia" w:ascii="宋体" w:hAnsi="宋体" w:eastAsia="宋体" w:cs="宋体"/>
                <w:sz w:val="18"/>
                <w:szCs w:val="18"/>
              </w:rPr>
            </w:pPr>
            <w:r>
              <w:rPr>
                <w:rFonts w:hint="eastAsia" w:ascii="宋体" w:hAnsi="宋体" w:eastAsia="宋体" w:cs="宋体"/>
                <w:sz w:val="18"/>
                <w:szCs w:val="18"/>
              </w:rPr>
              <w:t>考试</w:t>
            </w:r>
          </w:p>
        </w:tc>
        <w:tc>
          <w:tcPr>
            <w:tcW w:w="75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50%</w:t>
            </w:r>
          </w:p>
        </w:tc>
        <w:tc>
          <w:tcPr>
            <w:tcW w:w="3570"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目标 1：（30%）重点考察学生对基本概念、 方法和原理的掌握程度。</w:t>
            </w:r>
          </w:p>
          <w:p>
            <w:pPr>
              <w:jc w:val="left"/>
              <w:rPr>
                <w:rFonts w:hint="eastAsia" w:ascii="宋体" w:hAnsi="宋体" w:eastAsia="宋体" w:cs="宋体"/>
                <w:sz w:val="18"/>
                <w:szCs w:val="18"/>
              </w:rPr>
            </w:pPr>
            <w:r>
              <w:rPr>
                <w:rFonts w:hint="eastAsia" w:ascii="宋体" w:hAnsi="宋体" w:eastAsia="宋体" w:cs="宋体"/>
                <w:sz w:val="18"/>
                <w:szCs w:val="18"/>
              </w:rPr>
              <w:t>目标 2：（40%）重点考察学生对污水处理技 术及工艺原理、特征及影响因素的理解。</w:t>
            </w:r>
          </w:p>
          <w:p>
            <w:pPr>
              <w:jc w:val="left"/>
              <w:rPr>
                <w:rFonts w:hint="eastAsia" w:ascii="宋体" w:hAnsi="宋体" w:eastAsia="宋体" w:cs="宋体"/>
                <w:sz w:val="18"/>
                <w:szCs w:val="18"/>
              </w:rPr>
            </w:pPr>
            <w:r>
              <w:rPr>
                <w:rFonts w:hint="eastAsia" w:ascii="宋体" w:hAnsi="宋体" w:eastAsia="宋体" w:cs="宋体"/>
                <w:sz w:val="18"/>
                <w:szCs w:val="18"/>
              </w:rPr>
              <w:t>目标 3：（30%）重点考察学生综合运用基本 方法解决问题的能力。</w:t>
            </w:r>
          </w:p>
        </w:tc>
        <w:tc>
          <w:tcPr>
            <w:tcW w:w="300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（1）卷面成绩 100 分</w:t>
            </w:r>
          </w:p>
          <w:p>
            <w:pPr>
              <w:jc w:val="left"/>
              <w:rPr>
                <w:rFonts w:hint="eastAsia" w:ascii="宋体" w:hAnsi="宋体" w:eastAsia="宋体" w:cs="宋体"/>
                <w:sz w:val="18"/>
                <w:szCs w:val="18"/>
              </w:rPr>
            </w:pPr>
            <w:r>
              <w:rPr>
                <w:rFonts w:hint="eastAsia" w:ascii="宋体" w:hAnsi="宋体" w:eastAsia="宋体" w:cs="宋体"/>
                <w:sz w:val="18"/>
                <w:szCs w:val="18"/>
              </w:rPr>
              <w:t>（2）以卷面成绩乘以其在总评成绩 中所占的比例（50%）计入课程总评 成绩。</w:t>
            </w:r>
          </w:p>
        </w:tc>
        <w:tc>
          <w:tcPr>
            <w:tcW w:w="150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课程目标 1</w:t>
            </w:r>
          </w:p>
          <w:p>
            <w:pPr>
              <w:jc w:val="center"/>
              <w:rPr>
                <w:rFonts w:hint="eastAsia" w:ascii="宋体" w:hAnsi="宋体" w:eastAsia="宋体" w:cs="宋体"/>
                <w:sz w:val="18"/>
                <w:szCs w:val="18"/>
              </w:rPr>
            </w:pPr>
            <w:r>
              <w:rPr>
                <w:rFonts w:hint="eastAsia" w:ascii="宋体" w:hAnsi="宋体" w:eastAsia="宋体" w:cs="宋体"/>
                <w:sz w:val="18"/>
                <w:szCs w:val="18"/>
              </w:rPr>
              <w:t>课程目标 2</w:t>
            </w:r>
          </w:p>
          <w:p>
            <w:pPr>
              <w:jc w:val="center"/>
              <w:rPr>
                <w:rFonts w:hint="eastAsia" w:ascii="宋体" w:hAnsi="宋体" w:eastAsia="宋体" w:cs="宋体"/>
                <w:sz w:val="18"/>
                <w:szCs w:val="18"/>
              </w:rPr>
            </w:pPr>
            <w:r>
              <w:rPr>
                <w:rFonts w:hint="eastAsia" w:ascii="宋体" w:hAnsi="宋体" w:eastAsia="宋体" w:cs="宋体"/>
                <w:sz w:val="18"/>
                <w:szCs w:val="18"/>
              </w:rPr>
              <w:t>课程目标 3</w:t>
            </w:r>
          </w:p>
        </w:tc>
      </w:tr>
    </w:tbl>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3.过程考核评分细则</w:t>
      </w:r>
    </w:p>
    <w:p>
      <w:pPr>
        <w:widowControl w:val="0"/>
        <w:kinsoku/>
        <w:autoSpaceDE/>
        <w:autoSpaceDN/>
        <w:adjustRightInd/>
        <w:snapToGrid/>
        <w:spacing w:line="380" w:lineRule="exact"/>
        <w:ind w:firstLine="480" w:firstLineChars="200"/>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val="en-US" w:eastAsia="zh-CN"/>
        </w:rPr>
        <w:t>本课程评价方式注重过程控制细节、有定量的评价标准，可覆盖学生学习的各个环节，通过实施，可循序渐进地引导学生建立水污染控制工程（A2）知识体系和结构。考核评价的标准见下表。</w:t>
      </w:r>
    </w:p>
    <w:p>
      <w:pPr>
        <w:jc w:val="center"/>
        <w:rPr>
          <w:rFonts w:hint="eastAsia" w:ascii="宋体" w:hAnsi="宋体" w:eastAsia="宋体" w:cs="宋体"/>
          <w:sz w:val="21"/>
          <w:szCs w:val="21"/>
        </w:rPr>
      </w:pPr>
      <w:r>
        <w:rPr>
          <w:rFonts w:hint="eastAsia" w:ascii="宋体" w:hAnsi="宋体" w:eastAsia="宋体" w:cs="宋体"/>
          <w:sz w:val="21"/>
          <w:szCs w:val="21"/>
        </w:rPr>
        <w:t>表 5  课程过程考核评分细则</w:t>
      </w:r>
    </w:p>
    <w:tbl>
      <w:tblPr>
        <w:tblStyle w:val="8"/>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791"/>
        <w:gridCol w:w="1656"/>
        <w:gridCol w:w="1898"/>
        <w:gridCol w:w="1842"/>
        <w:gridCol w:w="1586"/>
        <w:gridCol w:w="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758"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考核</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方式</w:t>
            </w:r>
          </w:p>
        </w:tc>
        <w:tc>
          <w:tcPr>
            <w:tcW w:w="791"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所占</w:t>
            </w:r>
          </w:p>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比重</w:t>
            </w:r>
          </w:p>
        </w:tc>
        <w:tc>
          <w:tcPr>
            <w:tcW w:w="1656"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100＞x≥90</w:t>
            </w:r>
          </w:p>
        </w:tc>
        <w:tc>
          <w:tcPr>
            <w:tcW w:w="1898"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90＞x≥80</w:t>
            </w:r>
          </w:p>
        </w:tc>
        <w:tc>
          <w:tcPr>
            <w:tcW w:w="1842"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80＞x≥70</w:t>
            </w:r>
          </w:p>
        </w:tc>
        <w:tc>
          <w:tcPr>
            <w:tcW w:w="1586"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70＞x≥ 50</w:t>
            </w:r>
          </w:p>
        </w:tc>
        <w:tc>
          <w:tcPr>
            <w:tcW w:w="988" w:type="dxa"/>
            <w:vAlign w:val="center"/>
          </w:tcPr>
          <w:p>
            <w:pPr>
              <w:widowControl w:val="0"/>
              <w:kinsoku/>
              <w:autoSpaceDE/>
              <w:autoSpaceDN/>
              <w:adjustRightInd w:val="0"/>
              <w:snapToGrid w:val="0"/>
              <w:spacing w:line="240" w:lineRule="auto"/>
              <w:jc w:val="center"/>
              <w:textAlignment w:val="auto"/>
              <w:rPr>
                <w:rFonts w:hint="eastAsia" w:ascii="宋体" w:hAnsi="宋体" w:eastAsia="宋体" w:cs="Times New Roman"/>
                <w:b/>
                <w:bCs/>
                <w:snapToGrid/>
                <w:color w:val="000000"/>
                <w:kern w:val="2"/>
                <w:sz w:val="18"/>
                <w:szCs w:val="18"/>
                <w:lang w:eastAsia="zh-CN"/>
              </w:rPr>
            </w:pPr>
            <w:r>
              <w:rPr>
                <w:rFonts w:hint="eastAsia" w:ascii="宋体" w:hAnsi="宋体" w:eastAsia="宋体" w:cs="Times New Roman"/>
                <w:b/>
                <w:bCs/>
                <w:snapToGrid/>
                <w:color w:val="000000"/>
                <w:kern w:val="2"/>
                <w:sz w:val="18"/>
                <w:szCs w:val="18"/>
                <w:lang w:eastAsia="zh-CN"/>
              </w:rPr>
              <w:t>x＜50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75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课堂</w:t>
            </w:r>
          </w:p>
          <w:p>
            <w:pPr>
              <w:jc w:val="center"/>
              <w:rPr>
                <w:rFonts w:hint="eastAsia" w:ascii="宋体" w:hAnsi="宋体" w:eastAsia="宋体" w:cs="宋体"/>
                <w:sz w:val="18"/>
                <w:szCs w:val="18"/>
              </w:rPr>
            </w:pPr>
            <w:r>
              <w:rPr>
                <w:rFonts w:hint="eastAsia" w:ascii="宋体" w:hAnsi="宋体" w:eastAsia="宋体" w:cs="宋体"/>
                <w:sz w:val="18"/>
                <w:szCs w:val="18"/>
              </w:rPr>
              <w:t>表现</w:t>
            </w:r>
          </w:p>
        </w:tc>
        <w:tc>
          <w:tcPr>
            <w:tcW w:w="79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165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全勤，积极参与课堂讨论，准确回答问题</w:t>
            </w:r>
          </w:p>
        </w:tc>
        <w:tc>
          <w:tcPr>
            <w:tcW w:w="189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偶尔缺课1次，上课较认真，能基本准确答问题</w:t>
            </w:r>
          </w:p>
        </w:tc>
        <w:tc>
          <w:tcPr>
            <w:tcW w:w="184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缺课4-5次，上课状态一般，回答问题不准确</w:t>
            </w:r>
          </w:p>
        </w:tc>
        <w:tc>
          <w:tcPr>
            <w:tcW w:w="158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缺课4-5次，听课不够认真，答非所问</w:t>
            </w:r>
          </w:p>
        </w:tc>
        <w:tc>
          <w:tcPr>
            <w:tcW w:w="98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缺课5次以上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5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课后</w:t>
            </w:r>
          </w:p>
          <w:p>
            <w:pPr>
              <w:jc w:val="center"/>
              <w:rPr>
                <w:rFonts w:hint="eastAsia" w:ascii="宋体" w:hAnsi="宋体" w:eastAsia="宋体" w:cs="宋体"/>
                <w:sz w:val="18"/>
                <w:szCs w:val="18"/>
              </w:rPr>
            </w:pPr>
            <w:r>
              <w:rPr>
                <w:rFonts w:hint="eastAsia" w:ascii="宋体" w:hAnsi="宋体" w:eastAsia="宋体" w:cs="宋体"/>
                <w:sz w:val="18"/>
                <w:szCs w:val="18"/>
              </w:rPr>
              <w:t>习题</w:t>
            </w:r>
          </w:p>
          <w:p>
            <w:pPr>
              <w:jc w:val="center"/>
              <w:rPr>
                <w:rFonts w:hint="eastAsia" w:ascii="宋体" w:hAnsi="宋体" w:eastAsia="宋体" w:cs="宋体"/>
                <w:sz w:val="18"/>
                <w:szCs w:val="18"/>
              </w:rPr>
            </w:pPr>
            <w:r>
              <w:rPr>
                <w:rFonts w:hint="eastAsia" w:ascii="宋体" w:hAnsi="宋体" w:eastAsia="宋体" w:cs="宋体"/>
                <w:sz w:val="18"/>
                <w:szCs w:val="18"/>
              </w:rPr>
              <w:t>及报</w:t>
            </w:r>
          </w:p>
          <w:p>
            <w:pPr>
              <w:jc w:val="center"/>
              <w:rPr>
                <w:rFonts w:hint="eastAsia" w:ascii="宋体" w:hAnsi="宋体" w:eastAsia="宋体" w:cs="宋体"/>
                <w:sz w:val="18"/>
                <w:szCs w:val="18"/>
              </w:rPr>
            </w:pPr>
            <w:r>
              <w:rPr>
                <w:rFonts w:hint="eastAsia" w:ascii="宋体" w:hAnsi="宋体" w:eastAsia="宋体" w:cs="宋体"/>
                <w:sz w:val="18"/>
                <w:szCs w:val="18"/>
              </w:rPr>
              <w:t>告</w:t>
            </w:r>
          </w:p>
        </w:tc>
        <w:tc>
          <w:tcPr>
            <w:tcW w:w="79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w:t>
            </w:r>
          </w:p>
        </w:tc>
        <w:tc>
          <w:tcPr>
            <w:tcW w:w="165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作业（报告）完整， 思路清晰，准确率大于90%，字迹工整</w:t>
            </w:r>
          </w:p>
        </w:tc>
        <w:tc>
          <w:tcPr>
            <w:tcW w:w="189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作业（报告）完整，准确率大于80%，字迹工整</w:t>
            </w:r>
          </w:p>
        </w:tc>
        <w:tc>
          <w:tcPr>
            <w:tcW w:w="1842"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准确率大于70%，但是思路不够清晰</w:t>
            </w:r>
          </w:p>
        </w:tc>
        <w:tc>
          <w:tcPr>
            <w:tcW w:w="158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思路不清晰，存在 明显错误</w:t>
            </w:r>
          </w:p>
        </w:tc>
        <w:tc>
          <w:tcPr>
            <w:tcW w:w="988"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未完成作业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课堂</w:t>
            </w:r>
          </w:p>
          <w:p>
            <w:pPr>
              <w:jc w:val="center"/>
              <w:rPr>
                <w:rFonts w:hint="eastAsia" w:ascii="宋体" w:hAnsi="宋体" w:eastAsia="宋体" w:cs="宋体"/>
                <w:sz w:val="18"/>
                <w:szCs w:val="18"/>
              </w:rPr>
            </w:pPr>
            <w:r>
              <w:rPr>
                <w:rFonts w:hint="eastAsia" w:ascii="宋体" w:hAnsi="宋体" w:eastAsia="宋体" w:cs="宋体"/>
                <w:sz w:val="18"/>
                <w:szCs w:val="18"/>
              </w:rPr>
              <w:t>测验</w:t>
            </w:r>
          </w:p>
        </w:tc>
        <w:tc>
          <w:tcPr>
            <w:tcW w:w="79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w:t>
            </w:r>
          </w:p>
        </w:tc>
        <w:tc>
          <w:tcPr>
            <w:tcW w:w="7970" w:type="dxa"/>
            <w:gridSpan w:val="5"/>
            <w:vAlign w:val="center"/>
          </w:tcPr>
          <w:p>
            <w:pPr>
              <w:jc w:val="left"/>
              <w:rPr>
                <w:rFonts w:hint="eastAsia" w:ascii="宋体" w:hAnsi="宋体" w:eastAsia="宋体" w:cs="宋体"/>
                <w:sz w:val="18"/>
                <w:szCs w:val="18"/>
              </w:rPr>
            </w:pPr>
            <w:r>
              <w:rPr>
                <w:rFonts w:hint="eastAsia" w:ascii="宋体" w:hAnsi="宋体" w:eastAsia="宋体" w:cs="宋体"/>
                <w:sz w:val="18"/>
                <w:szCs w:val="18"/>
              </w:rPr>
              <w:t>每次课堂测验根据所测验的题目及评分标准按100分制单独评分，取平均值计为课堂测验的成绩</w:t>
            </w:r>
          </w:p>
        </w:tc>
      </w:tr>
    </w:tbl>
    <w:p>
      <w:pPr>
        <w:jc w:val="center"/>
        <w:rPr>
          <w:rFonts w:hint="eastAsia" w:ascii="宋体" w:hAnsi="宋体" w:eastAsia="宋体" w:cs="宋体"/>
          <w:sz w:val="21"/>
          <w:szCs w:val="21"/>
        </w:rPr>
      </w:pPr>
      <w:r>
        <w:rPr>
          <w:rFonts w:hint="eastAsia" w:ascii="宋体" w:hAnsi="宋体" w:eastAsia="宋体" w:cs="宋体"/>
          <w:sz w:val="21"/>
          <w:szCs w:val="21"/>
        </w:rPr>
        <w:t>说明：以上各项成绩要有相应的书面记录，缺课超过1/3（9次、18学时）不允许参加考试。</w:t>
      </w:r>
    </w:p>
    <w:p>
      <w:pPr>
        <w:pStyle w:val="4"/>
        <w:widowControl w:val="0"/>
        <w:kinsoku/>
        <w:autoSpaceDE/>
        <w:autoSpaceDN/>
        <w:adjustRightInd/>
        <w:snapToGrid/>
        <w:spacing w:before="120" w:beforeLines="50" w:beforeAutospacing="0" w:after="120" w:afterLines="50" w:afterAutospacing="0" w:line="400" w:lineRule="exact"/>
        <w:ind w:firstLine="482" w:firstLineChars="200"/>
        <w:jc w:val="both"/>
        <w:textAlignment w:val="auto"/>
        <w:rPr>
          <w:rFonts w:hint="eastAsia" w:ascii="黑体" w:hAnsi="黑体" w:eastAsia="黑体" w:cs="Times New Roman"/>
          <w:b/>
          <w:snapToGrid/>
          <w:color w:val="000000"/>
          <w:kern w:val="2"/>
          <w:lang w:val="en-US" w:eastAsia="zh-CN"/>
        </w:rPr>
      </w:pPr>
      <w:r>
        <w:rPr>
          <w:rFonts w:hint="eastAsia" w:ascii="黑体" w:hAnsi="黑体" w:eastAsia="黑体" w:cs="Times New Roman"/>
          <w:b/>
          <w:snapToGrid/>
          <w:color w:val="000000"/>
          <w:kern w:val="2"/>
          <w:lang w:val="en-US" w:eastAsia="zh-CN"/>
        </w:rPr>
        <w:t>九、教材及主要参考资料</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w:t>
      </w:r>
    </w:p>
    <w:p>
      <w:pPr>
        <w:pStyle w:val="4"/>
        <w:widowControl w:val="0"/>
        <w:spacing w:before="0" w:beforeAutospacing="0" w:after="0" w:afterAutospacing="0" w:line="400" w:lineRule="exact"/>
        <w:ind w:firstLine="480" w:firstLineChars="200"/>
        <w:jc w:val="both"/>
        <w:rPr>
          <w:rFonts w:hint="eastAsia"/>
          <w:color w:val="000000"/>
          <w:kern w:val="2"/>
        </w:rPr>
      </w:pPr>
      <w:r>
        <w:rPr>
          <w:rFonts w:hint="eastAsia"/>
          <w:color w:val="000000"/>
          <w:kern w:val="2"/>
        </w:rPr>
        <w:t>[1] 陈浩．仪器分析．第三版．北京：科学出版社．2016</w:t>
      </w:r>
    </w:p>
    <w:p>
      <w:pPr>
        <w:pStyle w:val="4"/>
        <w:widowControl w:val="0"/>
        <w:spacing w:before="0" w:beforeAutospacing="0" w:after="0" w:afterAutospacing="0" w:line="400" w:lineRule="exact"/>
        <w:ind w:firstLine="480" w:firstLineChars="200"/>
        <w:jc w:val="both"/>
        <w:rPr>
          <w:rFonts w:hint="eastAsia"/>
          <w:color w:val="000000"/>
          <w:kern w:val="2"/>
        </w:rPr>
      </w:pPr>
      <w:r>
        <w:rPr>
          <w:rFonts w:hint="eastAsia"/>
          <w:color w:val="000000"/>
          <w:kern w:val="2"/>
        </w:rPr>
        <w:t>[2] 叶宪曾等．仪器分析教程．第二版．北京：北京大学出版社．2009</w:t>
      </w:r>
    </w:p>
    <w:p>
      <w:pPr>
        <w:pStyle w:val="4"/>
        <w:widowControl w:val="0"/>
        <w:spacing w:before="0" w:beforeAutospacing="0" w:after="0" w:afterAutospacing="0" w:line="400" w:lineRule="exact"/>
        <w:ind w:firstLine="480" w:firstLineChars="200"/>
        <w:jc w:val="both"/>
        <w:rPr>
          <w:rFonts w:hint="eastAsia"/>
          <w:color w:val="000000"/>
          <w:kern w:val="2"/>
        </w:rPr>
      </w:pPr>
    </w:p>
    <w:p>
      <w:pPr>
        <w:pStyle w:val="4"/>
        <w:widowControl w:val="0"/>
        <w:spacing w:before="0" w:beforeAutospacing="0" w:after="0" w:afterAutospacing="0" w:line="400" w:lineRule="exact"/>
        <w:ind w:firstLine="480" w:firstLineChars="200"/>
        <w:jc w:val="both"/>
        <w:rPr>
          <w:rFonts w:hint="eastAsia"/>
          <w:color w:val="000000"/>
          <w:kern w:val="2"/>
        </w:rPr>
      </w:pPr>
    </w:p>
    <w:p>
      <w:pPr>
        <w:spacing w:line="500" w:lineRule="exact"/>
        <w:ind w:firstLine="420" w:firstLineChars="200"/>
        <w:rPr>
          <w:rFonts w:hint="eastAsia" w:ascii="宋体" w:hAnsi="宋体"/>
          <w:b/>
          <w:bCs/>
        </w:rPr>
      </w:pPr>
    </w:p>
    <w:p>
      <w:pPr>
        <w:pStyle w:val="4"/>
        <w:widowControl w:val="0"/>
        <w:spacing w:before="0" w:beforeAutospacing="0" w:after="0" w:afterAutospacing="0" w:line="400" w:lineRule="exact"/>
        <w:ind w:firstLine="480" w:firstLineChars="200"/>
        <w:jc w:val="both"/>
        <w:rPr>
          <w:rFonts w:hint="eastAsia"/>
          <w:color w:val="000000"/>
          <w:kern w:val="2"/>
        </w:rPr>
      </w:pPr>
      <w:r>
        <w:rPr>
          <w:rFonts w:hint="eastAsia" w:ascii="宋体" w:hAnsi="宋体"/>
          <w:b/>
          <w:bCs/>
        </w:rPr>
        <w:t>执笔人签名：</w:t>
      </w:r>
      <w:r>
        <w:rPr>
          <w:rFonts w:hint="eastAsia" w:eastAsia="宋体"/>
          <w:b/>
          <w:bCs/>
          <w:lang w:val="en-US" w:eastAsia="zh-CN"/>
        </w:rPr>
        <w:t xml:space="preserve">          </w:t>
      </w:r>
      <w:r>
        <w:rPr>
          <w:rFonts w:hint="eastAsia" w:ascii="宋体" w:hAnsi="宋体"/>
          <w:b/>
          <w:bCs/>
        </w:rPr>
        <w:t>教研室主任签名：</w:t>
      </w:r>
      <w:r>
        <w:rPr>
          <w:rFonts w:hint="eastAsia" w:eastAsia="宋体"/>
          <w:b/>
          <w:bCs/>
          <w:lang w:val="en-US" w:eastAsia="zh-CN"/>
        </w:rPr>
        <w:t xml:space="preserve">          </w:t>
      </w:r>
      <w:r>
        <w:rPr>
          <w:rFonts w:hint="eastAsia" w:ascii="宋体" w:hAnsi="宋体"/>
          <w:b/>
          <w:bCs/>
        </w:rPr>
        <w:t>教学院长审核签名：</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sectPr>
          <w:headerReference r:id="rId7" w:type="default"/>
          <w:pgSz w:w="11907" w:h="16839"/>
          <w:pgMar w:top="1125" w:right="1274" w:bottom="0" w:left="1274" w:header="1111" w:footer="0" w:gutter="0"/>
          <w:cols w:equalWidth="0" w:num="1">
            <w:col w:w="9357"/>
          </w:cols>
        </w:sectPr>
      </w:pPr>
    </w:p>
    <w:p>
      <w:pPr>
        <w:ind w:firstLine="480" w:firstLineChars="200"/>
        <w:rPr>
          <w:rFonts w:hint="eastAsia" w:ascii="宋体" w:hAnsi="宋体" w:eastAsia="宋体" w:cs="宋体"/>
          <w:sz w:val="24"/>
          <w:szCs w:val="24"/>
          <w:lang w:val="en-US" w:eastAsia="zh-CN"/>
        </w:rPr>
      </w:pPr>
    </w:p>
    <w:sectPr>
      <w:type w:val="continuous"/>
      <w:pgSz w:w="11907" w:h="16839"/>
      <w:pgMar w:top="1125" w:right="1274" w:bottom="0" w:left="1274" w:header="1111" w:footer="0" w:gutter="0"/>
      <w:cols w:equalWidth="0" w:num="3">
        <w:col w:w="2690" w:space="100"/>
        <w:col w:w="2317" w:space="100"/>
        <w:col w:w="415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4097" o:spid="_x0000_s4097" o:spt="1" style="position:absolute;left:0pt;margin-left:63.7pt;margin-top:55.55pt;height:0.75pt;width:467.8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4098" o:spid="_x0000_s4098" o:spt="1" style="position:absolute;left:0pt;margin-left:63.7pt;margin-top:55.55pt;height:0.75pt;width:467.8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4099" o:spid="_x0000_s4099" o:spt="1" style="position:absolute;left:0pt;margin-left:63.7pt;margin-top:55.55pt;height:0.75pt;width:467.8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U5M2FlNTk1ZGUyMDU0OWY1OTM0NjFlMDllZDYwMTgifQ=="/>
  </w:docVars>
  <w:rsids>
    <w:rsidRoot w:val="00000000"/>
    <w:rsid w:val="0A200B7B"/>
    <w:rsid w:val="1C8A6328"/>
    <w:rsid w:val="1E4C5F8A"/>
    <w:rsid w:val="23867849"/>
    <w:rsid w:val="2A9A1E2C"/>
    <w:rsid w:val="3108704F"/>
    <w:rsid w:val="3EDC46BA"/>
    <w:rsid w:val="413E755D"/>
    <w:rsid w:val="46366A55"/>
    <w:rsid w:val="52232583"/>
    <w:rsid w:val="597262C2"/>
    <w:rsid w:val="59E25810"/>
    <w:rsid w:val="64B11C70"/>
    <w:rsid w:val="6BD86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2020-11-11T10:40:00Z</dcterms:created>
  <dc:creator>Cui</dc:creator>
  <cp:lastModifiedBy>兵兵的兜兜</cp:lastModifiedBy>
  <dcterms:modified xsi:type="dcterms:W3CDTF">2023-11-16T03:39:00Z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2023-10-25T16:44:10Z</vt:filetime>
  </property>
  <property fmtid="{D5CDD505-2E9C-101B-9397-08002B2CF9AE}" pid="4" name="KSOProductBuildVer">
    <vt:lpwstr>2052-12.1.0.15712</vt:lpwstr>
  </property>
  <property fmtid="{D5CDD505-2E9C-101B-9397-08002B2CF9AE}" pid="5" name="ICV">
    <vt:lpwstr>2601602CAEA0453683D7FC8ABCDE432F_12</vt:lpwstr>
  </property>
</Properties>
</file>